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m.peroz@parc-haut-jura.fr</w:t>
      </w:r>
    </w:p>
    <w:p>
      <w:pPr>
        <w:pStyle w:val="Corpsdetexte"/>
      </w:pPr>
      <w:r>
        <w:t xml:space="preserve">Date de signature du CRTE : 26 janvier 2022</w:t>
      </w:r>
    </w:p>
    <w:p>
      <w:pPr>
        <w:pStyle w:val="Corpsdetexte"/>
      </w:pPr>
      <w:r>
        <w:t xml:space="preserve">Nature juridique de la structure porteuse : Parc naturel régional</w:t>
      </w:r>
    </w:p>
    <w:p>
      <w:pPr>
        <w:pStyle w:val="Corpsdetexte"/>
      </w:pPr>
      <w:r>
        <w:t xml:space="preserve">Nom de la structure porteuse : Parc Naturel Régional du Haut Jura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Parc naturel régional du Haut-Jura, SIREN : 253901664,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Economie - Diversifier le profil économique du territoire et renforcer les synergies locales - Axe 1 : Accompagner les mutations industrielles et artisanales en revalorisant les filières - Axe 2 : Dynamiser les formations en rapport avec les filières fortes comme levier d’attractivité du territoire - Axe 3 : Conforter la diversification agricole et renforcer les circuits-courts alimentaires - Axe 4 : Assurer une mobilisation durable de la ressource forestière et valoriser son potentiel constructif - Axe 5 : Favoriser un tourisme durable dans le temps et dans l’espace</w:t>
      </w:r>
    </w:p>
    <w:p>
      <w:pPr>
        <w:numPr>
          <w:ilvl w:val="0"/>
          <w:numId w:val="1005"/>
        </w:numPr>
        <w:pStyle w:val="Compact"/>
      </w:pPr>
      <w:r>
        <w:t xml:space="preserve">Orientation 2 - Qualité de vie - Garantir l’attractivité et la qualité de vie - Axe 1 : Revitaliser les fonctions de centralité des bourgs-centres - Axe 2 : Produire une offre de logements sobres en carbone, performante énergétiquement et en rapport aux parcours résidentiels et aux revenus des ménages - Axe 3 : Garantir et coordonner une offre de soins adaptée à la population - Axe 4 : Développer l’offre culturelle, les services et équipements en adéquation avec les besoins de la population et performants énergétiquement - Axe 5 : Renforcer les mobilités vertueuses et l’accessibilité de l’offre de services et équipements en lien avec les territoires voisins</w:t>
      </w:r>
    </w:p>
    <w:p>
      <w:pPr>
        <w:numPr>
          <w:ilvl w:val="0"/>
          <w:numId w:val="1005"/>
        </w:numPr>
        <w:pStyle w:val="Compact"/>
      </w:pPr>
      <w:r>
        <w:t xml:space="preserve">Orientation 3 - Transition énergétique et écologique - S’adapter pour maintenir la variété et la qualité du patrimoine naturel et paysager - Axe 1 : Poursuivre le développement adapté des énergies renouvelables ou décarbonées - Axe 2 : Préserver le capital écologique et paysager comme facteur de résilience et d’attractivité - Axe 3 : Poursuivre les démarches de sensibilisation et mobiliser l’ensemble des parties prenantes en faveur des transitions - Axe 4 : Planifier et coordonner les adaptations nécessaires à la prise ne compte du réchauffement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101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Présidente du Pays du haut Jura</w:t>
      </w:r>
    </w:p>
    <w:p>
      <w:pPr>
        <w:numPr>
          <w:ilvl w:val="0"/>
          <w:numId w:val="1007"/>
        </w:numPr>
        <w:pStyle w:val="Compact"/>
      </w:pPr>
      <w:r>
        <w:t xml:space="preserve">nom : CC de la Station des Rousses-Haut Jura, SIREN : 243900354, nature : CC</w:t>
      </w:r>
    </w:p>
    <w:p>
      <w:pPr>
        <w:numPr>
          <w:ilvl w:val="0"/>
          <w:numId w:val="1007"/>
        </w:numPr>
        <w:pStyle w:val="Compact"/>
      </w:pPr>
      <w:r>
        <w:t xml:space="preserve">nom : CC Haut-Jura Saint-Claude, SIREN : 200026573, nature : CC</w:t>
      </w:r>
    </w:p>
    <w:p>
      <w:pPr>
        <w:numPr>
          <w:ilvl w:val="0"/>
          <w:numId w:val="1007"/>
        </w:numPr>
        <w:pStyle w:val="Compact"/>
      </w:pPr>
      <w:r>
        <w:t xml:space="preserve">nom : CC Haut-Jura Arcade Communauté, SIREN : 243900479, nature : CC</w:t>
      </w:r>
    </w:p>
    <w:p>
      <w:pPr>
        <w:numPr>
          <w:ilvl w:val="0"/>
          <w:numId w:val="1007"/>
        </w:numPr>
        <w:pStyle w:val="Compact"/>
      </w:pPr>
      <w:r>
        <w:t xml:space="preserve">nom : CC la Grandvallière, SIREN : 243900610, nature : CC</w:t>
      </w:r>
    </w:p>
    <w:p>
      <w:pPr>
        <w:numPr>
          <w:ilvl w:val="0"/>
          <w:numId w:val="1007"/>
        </w:numPr>
        <w:pStyle w:val="Compact"/>
      </w:pPr>
      <w:r>
        <w:t xml:space="preserve">Commissariat d’Aménagement et de développement du Massif du Jura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nom : Jura, SIREN : 39, nature : departement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Etablissement public foncier local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du Haut-Jura, SIREN : 253901664, nature : SMO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Atelier des savoir-faire</w:t>
      </w:r>
    </w:p>
    <w:p>
      <w:pPr>
        <w:numPr>
          <w:ilvl w:val="0"/>
          <w:numId w:val="1008"/>
        </w:numPr>
        <w:pStyle w:val="Compact"/>
      </w:pPr>
      <w:r>
        <w:t xml:space="preserve">Union des industries et métiers de la métallurfie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8"/>
        </w:numPr>
        <w:pStyle w:val="Compact"/>
      </w:pPr>
      <w:r>
        <w:t xml:space="preserve">chambre de commerce et d’industrie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communes forestières</w:t>
      </w:r>
    </w:p>
    <w:p>
      <w:pPr>
        <w:numPr>
          <w:ilvl w:val="0"/>
          <w:numId w:val="1008"/>
        </w:numPr>
        <w:pStyle w:val="Compact"/>
      </w:pPr>
      <w:r>
        <w:t xml:space="preserve">La maison pour Tous</w:t>
      </w:r>
    </w:p>
    <w:p>
      <w:pPr>
        <w:numPr>
          <w:ilvl w:val="0"/>
          <w:numId w:val="1008"/>
        </w:numPr>
        <w:pStyle w:val="Compact"/>
      </w:pPr>
      <w:r>
        <w:t xml:space="preserve">Soliha</w:t>
      </w:r>
    </w:p>
    <w:p>
      <w:pPr>
        <w:numPr>
          <w:ilvl w:val="0"/>
          <w:numId w:val="1008"/>
        </w:numPr>
        <w:pStyle w:val="Compact"/>
      </w:pPr>
      <w:r>
        <w:t xml:space="preserve">comité départemental du tourisme</w:t>
      </w:r>
    </w:p>
    <w:p>
      <w:pPr>
        <w:numPr>
          <w:ilvl w:val="0"/>
          <w:numId w:val="1008"/>
        </w:numPr>
        <w:pStyle w:val="Compact"/>
      </w:pPr>
      <w:r>
        <w:t xml:space="preserve">centre national de la propriété forestière</w:t>
      </w:r>
    </w:p>
    <w:p>
      <w:pPr>
        <w:numPr>
          <w:ilvl w:val="0"/>
          <w:numId w:val="1008"/>
        </w:numPr>
        <w:pStyle w:val="Compact"/>
      </w:pPr>
      <w:r>
        <w:t xml:space="preserve">Association régionale de développement agricole et rural</w:t>
      </w:r>
    </w:p>
    <w:p>
      <w:pPr>
        <w:numPr>
          <w:ilvl w:val="0"/>
          <w:numId w:val="1008"/>
        </w:numPr>
        <w:pStyle w:val="Compact"/>
      </w:pPr>
      <w:r>
        <w:t xml:space="preserve">Mutualité sociale agricole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102.84M€</w:t>
      </w:r>
    </w:p>
    <w:p>
      <w:pPr>
        <w:pStyle w:val="Corpsdetexte"/>
      </w:pPr>
      <w:r>
        <w:t xml:space="preserve">Montant total en euros des engagements financiers des collectivités locales et leurs établissements publics : 25.39M€</w:t>
      </w:r>
    </w:p>
    <w:p>
      <w:pPr>
        <w:pStyle w:val="Corpsdetexte"/>
      </w:pPr>
      <w:r>
        <w:t xml:space="preserve">Montant total en euros des engagements financiers de l’Etat et de ses opérateurs Plan de relance : 24.19M€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824 155€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2.60M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2023-04-12T12:34:47Z</dcterms:created>
  <dcterms:modified xsi:type="dcterms:W3CDTF">2023-04-12T12:34:47Z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