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pecredoz@pays-ledonien.fr</w:t>
      </w:r>
    </w:p>
    <w:p>
      <w:pPr>
        <w:pStyle w:val="Corpsdetexte"/>
      </w:pPr>
      <w:r>
        <w:t xml:space="preserve">Date de signature du CRTE : 31 janvier 2022</w:t>
      </w:r>
    </w:p>
    <w:p>
      <w:pPr>
        <w:pStyle w:val="Corpsdetexte"/>
      </w:pPr>
      <w:r>
        <w:t xml:space="preserve">Nature juridique de la structure porteuse : Pôle équilibre territorial et rural</w:t>
      </w:r>
    </w:p>
    <w:p>
      <w:pPr>
        <w:pStyle w:val="Corpsdetexte"/>
      </w:pPr>
      <w:r>
        <w:t xml:space="preserve">Nom de la structure porteuse : PETR du Pays lédonien</w:t>
      </w:r>
    </w:p>
    <w:p>
      <w:pPr>
        <w:pStyle w:val="Corpsdetexte"/>
      </w:pPr>
      <w:r>
        <w:t xml:space="preserve">Si protocole de préfiguration : date de signature : 2021-09-01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nom : PETR du Pays Lédonien, SIREN : 200051225, nature : PETR</w:t>
      </w:r>
    </w:p>
    <w:p>
      <w:pPr>
        <w:numPr>
          <w:ilvl w:val="0"/>
          <w:numId w:val="1001"/>
        </w:numPr>
        <w:pStyle w:val="Compact"/>
      </w:pPr>
      <w:r>
        <w:t xml:space="preserve">préfet du Jura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numPr>
          <w:ilvl w:val="0"/>
          <w:numId w:val="1002"/>
        </w:numPr>
        <w:pStyle w:val="Compact"/>
      </w:pPr>
      <w:r>
        <w:t xml:space="preserve">PLH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SDAGE</w:t>
      </w:r>
    </w:p>
    <w:p>
      <w:pPr>
        <w:numPr>
          <w:ilvl w:val="0"/>
          <w:numId w:val="1002"/>
        </w:numPr>
        <w:pStyle w:val="Compact"/>
      </w:pPr>
      <w:r>
        <w:t xml:space="preserve">Plan de valorisation de l’architecture et du patrimoine (PVAP)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ORT</w:t>
      </w:r>
    </w:p>
    <w:p>
      <w:pPr>
        <w:numPr>
          <w:ilvl w:val="0"/>
          <w:numId w:val="1003"/>
        </w:numPr>
        <w:pStyle w:val="Compact"/>
      </w:pPr>
      <w:r>
        <w:t xml:space="preserve">Contrat objectif territorial ADEME</w:t>
      </w:r>
    </w:p>
    <w:p>
      <w:pPr>
        <w:numPr>
          <w:ilvl w:val="0"/>
          <w:numId w:val="1003"/>
        </w:numPr>
        <w:pStyle w:val="Compact"/>
      </w:pPr>
      <w:r>
        <w:t xml:space="preserve">Convention ANRU</w:t>
      </w:r>
    </w:p>
    <w:p>
      <w:pPr>
        <w:numPr>
          <w:ilvl w:val="0"/>
          <w:numId w:val="1003"/>
        </w:numPr>
        <w:pStyle w:val="Compact"/>
      </w:pPr>
      <w:r>
        <w:t xml:space="preserve">OPAH</w:t>
      </w:r>
    </w:p>
    <w:p>
      <w:pPr>
        <w:numPr>
          <w:ilvl w:val="0"/>
          <w:numId w:val="1003"/>
        </w:numPr>
        <w:pStyle w:val="Compact"/>
      </w:pPr>
      <w:r>
        <w:t xml:space="preserve">LEADER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Action cœur de ville</w:t>
      </w:r>
    </w:p>
    <w:p>
      <w:pPr>
        <w:numPr>
          <w:ilvl w:val="0"/>
          <w:numId w:val="1004"/>
        </w:numPr>
        <w:pStyle w:val="Compact"/>
      </w:pPr>
      <w:r>
        <w:t xml:space="preserve">Petits villes de demain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numPr>
          <w:ilvl w:val="0"/>
          <w:numId w:val="1004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Accélérer la transition écologique et énergétique</w:t>
      </w:r>
    </w:p>
    <w:p>
      <w:pPr>
        <w:numPr>
          <w:ilvl w:val="0"/>
          <w:numId w:val="1005"/>
        </w:numPr>
        <w:pStyle w:val="Compact"/>
      </w:pPr>
      <w:r>
        <w:t xml:space="preserve">Organiser un développement équilibré du territoire et assurer les solidarités entre les secteurs urbains et ruraux</w:t>
      </w:r>
    </w:p>
    <w:p>
      <w:pPr>
        <w:numPr>
          <w:ilvl w:val="0"/>
          <w:numId w:val="1005"/>
        </w:numPr>
        <w:pStyle w:val="Compact"/>
      </w:pPr>
      <w:r>
        <w:t xml:space="preserve">Renforcer la diversification des fonctions économiques du territoire et encourager la relance</w:t>
      </w:r>
    </w:p>
    <w:p>
      <w:pPr>
        <w:numPr>
          <w:ilvl w:val="0"/>
          <w:numId w:val="1005"/>
        </w:numPr>
        <w:pStyle w:val="Compact"/>
      </w:pPr>
      <w:r>
        <w:t xml:space="preserve">Développer la coopération territoriale, l’animation et la concertation des projets de développement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Oui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Pratique agricole durable, agro-écologie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Economie sociale et solidaire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Loisirs</w:t>
      </w:r>
    </w:p>
    <w:p>
      <w:pPr>
        <w:numPr>
          <w:ilvl w:val="0"/>
          <w:numId w:val="1006"/>
        </w:numPr>
        <w:pStyle w:val="Compact"/>
      </w:pPr>
      <w:r>
        <w:t xml:space="preserve">Formation professionnelle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Usages et inclusion numériques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Tiers Lieux</w:t>
      </w:r>
    </w:p>
    <w:p>
      <w:pPr>
        <w:numPr>
          <w:ilvl w:val="0"/>
          <w:numId w:val="1006"/>
        </w:numPr>
        <w:pStyle w:val="Compact"/>
      </w:pPr>
      <w:r>
        <w:t xml:space="preserve">Accès à un logement de qualité</w:t>
      </w:r>
    </w:p>
    <w:p>
      <w:pPr>
        <w:pStyle w:val="FirstParagraph"/>
      </w:pPr>
      <w:r>
        <w:t xml:space="preserve">Nombre de fiches action (opération prête à démarrer) : 41</w:t>
      </w:r>
    </w:p>
    <w:p>
      <w:pPr>
        <w:pStyle w:val="Corpsdetexte"/>
      </w:pPr>
      <w:r>
        <w:t xml:space="preserve">Nombre de fiches projet (opération à travailler) : 402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nom : PETR du Pays Lédonien, SIREN : 200051225, nature : PETR</w:t>
      </w:r>
    </w:p>
    <w:p>
      <w:pPr>
        <w:numPr>
          <w:ilvl w:val="0"/>
          <w:numId w:val="1007"/>
        </w:numPr>
        <w:pStyle w:val="Compact"/>
      </w:pPr>
      <w:r>
        <w:t xml:space="preserve">nom : CC Bresse Haute Seille, SIREN : 200069615, nature : CC</w:t>
      </w:r>
    </w:p>
    <w:p>
      <w:pPr>
        <w:numPr>
          <w:ilvl w:val="0"/>
          <w:numId w:val="1007"/>
        </w:numPr>
        <w:pStyle w:val="Compact"/>
      </w:pPr>
      <w:r>
        <w:t xml:space="preserve">nom : CA ECLA (Espace Communautaire Lons Agglomération), SIREN : 200071116, nature : CA</w:t>
      </w:r>
    </w:p>
    <w:p>
      <w:pPr>
        <w:numPr>
          <w:ilvl w:val="0"/>
          <w:numId w:val="1007"/>
        </w:numPr>
        <w:pStyle w:val="Compact"/>
      </w:pPr>
      <w:r>
        <w:t xml:space="preserve">nom : CC Terre d’Émeraude Communauté, SIREN : 200090579, nature : CC</w:t>
      </w:r>
    </w:p>
    <w:p>
      <w:pPr>
        <w:numPr>
          <w:ilvl w:val="0"/>
          <w:numId w:val="1007"/>
        </w:numPr>
        <w:pStyle w:val="Compact"/>
      </w:pPr>
      <w:r>
        <w:t xml:space="preserve">nom : CC Porte du Jura, SIREN : 200072056, nature : CC</w:t>
      </w:r>
    </w:p>
    <w:p>
      <w:pPr>
        <w:numPr>
          <w:ilvl w:val="0"/>
          <w:numId w:val="1007"/>
        </w:numPr>
        <w:pStyle w:val="Compact"/>
      </w:pPr>
      <w:r>
        <w:t xml:space="preserve">ADEME</w:t>
      </w:r>
    </w:p>
    <w:p>
      <w:pPr>
        <w:numPr>
          <w:ilvl w:val="0"/>
          <w:numId w:val="1007"/>
        </w:numPr>
        <w:pStyle w:val="Compact"/>
      </w:pPr>
      <w:r>
        <w:t xml:space="preserve">Services de l’État</w:t>
      </w:r>
    </w:p>
    <w:p>
      <w:pPr>
        <w:numPr>
          <w:ilvl w:val="0"/>
          <w:numId w:val="1007"/>
        </w:numPr>
        <w:pStyle w:val="Compact"/>
      </w:pPr>
      <w:r>
        <w:t xml:space="preserve">Banque des Territoires</w:t>
      </w:r>
    </w:p>
    <w:p>
      <w:pPr>
        <w:numPr>
          <w:ilvl w:val="0"/>
          <w:numId w:val="1007"/>
        </w:numPr>
        <w:pStyle w:val="Compact"/>
      </w:pPr>
      <w:r>
        <w:t xml:space="preserve">Caisse des Dépôts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numPr>
          <w:ilvl w:val="0"/>
          <w:numId w:val="1008"/>
        </w:numPr>
        <w:pStyle w:val="Compact"/>
      </w:pPr>
      <w:r>
        <w:t xml:space="preserve">Aucune</w:t>
      </w:r>
    </w:p>
    <w:p>
      <w:pPr>
        <w:pStyle w:val="FirstParagraph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numPr>
          <w:ilvl w:val="0"/>
          <w:numId w:val="1009"/>
        </w:numPr>
        <w:pStyle w:val="Compact"/>
      </w:pPr>
      <w:r>
        <w:t xml:space="preserve">Entreprises</w:t>
      </w:r>
    </w:p>
    <w:p>
      <w:pPr>
        <w:pStyle w:val="FirstParagraph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Non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10"/>
        </w:numPr>
        <w:pStyle w:val="Compact"/>
      </w:pPr>
      <w:r>
        <w:t xml:space="preserve">ADEME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Non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0€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0€</w:t>
      </w:r>
    </w:p>
    <w:p>
      <w:pPr>
        <w:pStyle w:val="Corpsdetexte"/>
      </w:pPr>
      <w:r>
        <w:t xml:space="preserve">Montant total prévisionnel en euros des cofinancements européens : 0€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  <w:num w:numId="1009">
    <w:abstractNumId w:val="991"/>
  </w:num>
  <w:num w:numId="1010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2023-04-12T12:24:33Z</dcterms:created>
  <dcterms:modified xsi:type="dcterms:W3CDTF">2023-04-12T12:24:33Z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