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Bretagne Porte de Loire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Directrice territoriale Ille-et-Vilaine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Bretagne Porte de Loire Communauté, SIREN : 200070662,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une institution connue et reconnue. Objectifs: construire un partenariat renforcé avec les acteurs institutionnels et locaux; pérenniser les ressources communautaires par la mutualisation des moyens; renforcer les relations avec les EPCI limitrophes en matière de transports et de services aux habitants; coordonner une mutualisation progressive selon les besoins pour maîtriser les coûts; améliorer la connaissance de l’offre des services communautaires auprès des habitants et des usagers; organiser une réponse transverse des équipes aux missions confiées</w:t>
      </w:r>
    </w:p>
    <w:p>
      <w:pPr>
        <w:numPr>
          <w:ilvl w:val="0"/>
          <w:numId w:val="1005"/>
        </w:numPr>
        <w:pStyle w:val="Compact"/>
      </w:pPr>
      <w:r>
        <w:t xml:space="preserve">Orientation 2: un cadre de vie préservé et un territoire économe. Objectifs: s’inscrire dans un référentiel de développement urbain (Pays des Vallons de Vilaine) pour préserver et valoriser les paysages et le patrimoine architectural; valoriser et renforcer les centres-bourgs en favorisant leur mutation pou éviter l’étalement urbain; développer une offre de logement adaptée facilitant les parcours résidentiels; préserver la richesse des milieux et la biodiversité en préservant les ressources en eau; concourir à l’autonomie énergétique du territoire; favoriser une gestion des déchets recyclables et valorisables en s’appuyant sur les outils de proximité</w:t>
      </w:r>
    </w:p>
    <w:p>
      <w:pPr>
        <w:numPr>
          <w:ilvl w:val="0"/>
          <w:numId w:val="1005"/>
        </w:numPr>
        <w:pStyle w:val="Compact"/>
      </w:pPr>
      <w:r>
        <w:t xml:space="preserve">Orientation 3: un meilleur maillage de l’offre de services au bénéfice de tous. Objectifs: anticiper les services à la population (naitre, grandir, vivre, vieillir); maintenir et développer des services de proximité gérés par les communes et BPLC dans les communes distantes du pôle structurant de Bain-de-Bretagne; Améliorer le dispositif en matière de compétence petite enfance, enfance, jeunesse et renforcer le lien entre les opérateurs; développer une politique globale d’accompagnement du tissu associatif pour maintenir la dynamique associative sportive et culturelle par le soutien aux associations d’intérêt communautaire; faciliter et optimiser l’usage des infrastructures communales partagées comme les salles de sports, les ALSH, les équipements culturels; décentraliser des actions culturelles comme les festivals en les rendant itinérants ou multi-sites</w:t>
      </w:r>
    </w:p>
    <w:p>
      <w:pPr>
        <w:numPr>
          <w:ilvl w:val="0"/>
          <w:numId w:val="1005"/>
        </w:numPr>
        <w:pStyle w:val="Compact"/>
      </w:pPr>
      <w:r>
        <w:t xml:space="preserve">Orientation 4: une économie diversifiée et générant plus de valeur ajoutée. Objectifs: Renforcer les partenariats et le travail en réseau avec les clubs d’entreprises et les acteurs locaux; Affirmer le positionnement stratégique des parcs d’activités économiques pour l’accueil d’entreprises provenant de l’extérieur. Développer des emplois locaux qualifiés pour fixer la population; Mobiliser l’immobilier d’activités vacant pour les activités de proximité; Maintenir les activités et commerces de proximité dans les centres-bourgs; favoriser la production et la consommation locales; pérenniser l’activité agricole sur le territoire en privilégiant les circuits courts</w:t>
      </w:r>
    </w:p>
    <w:p>
      <w:pPr>
        <w:numPr>
          <w:ilvl w:val="0"/>
          <w:numId w:val="1005"/>
        </w:numPr>
        <w:pStyle w:val="Compact"/>
      </w:pPr>
      <w:r>
        <w:t xml:space="preserve">Orientation 5: La mobilité pour un meilleur accès à l’emploi et aux services. Objectifs: faciliter la mobilité de tous au sein du territoire vers les pôles d’emplois et de services, et vers les territoires limitrophes; accompagner l’intermodalité et le développement des mobilités alternatives à la voiture individuelle; développer un réseau de mobilités douces entre les communes et dans les communes; renforcer la connexion et la couverture numérique du territoire; faciliter les migrations alternantes en s’appuant sur l’offre régionale et celle de la métropole rennaise pour lutter contre les émissions de gaz à effet de serre; s’inscrire dans la logique du plan climat air énergie territorial (PCAET) pour réduire l’empreinte carbone du territorial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Redon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CC Bretagne Porte de Loire Communauté, SIREN : 200070662,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4.06M€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1.43M€</w:t>
      </w:r>
    </w:p>
    <w:p>
      <w:pPr>
        <w:pStyle w:val="Corpsdetexte"/>
      </w:pPr>
      <w:r>
        <w:t xml:space="preserve">Montant total en euros des engagements financiers de l’Etat et de ses opérateurs hors plan de relance : 876 335€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2023-04-12T12:31:29Z</dcterms:created>
  <dcterms:modified xsi:type="dcterms:W3CDTF">2023-04-12T12:31:29Z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