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thibault.tilmant@eure-et-loir.gouv.fr</w:t>
      </w:r>
    </w:p>
    <w:p>
      <w:pPr>
        <w:pStyle w:val="Corpsdetexte"/>
      </w:pPr>
      <w:r>
        <w:t xml:space="preserve">Date de signature du CRTE : 14 mars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Portes Euréliennes d’Ile de France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des Portes Euréliennes d’Ile de France, SIREN : 200069953, nature : CC</w:t>
      </w:r>
    </w:p>
    <w:p>
      <w:pPr>
        <w:numPr>
          <w:ilvl w:val="0"/>
          <w:numId w:val="1001"/>
        </w:numPr>
        <w:pStyle w:val="Compact"/>
      </w:pPr>
      <w:r>
        <w:t xml:space="preserve">nom : Centre-Val de Loire, SIREN : 24, nature : region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CRST</w:t>
      </w:r>
    </w:p>
    <w:p>
      <w:pPr>
        <w:numPr>
          <w:ilvl w:val="0"/>
          <w:numId w:val="1003"/>
        </w:numPr>
        <w:pStyle w:val="Compact"/>
      </w:pPr>
      <w:r>
        <w:t xml:space="preserve">CTSF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SourceCode"/>
      </w:pPr>
      <w:r>
        <w:rPr>
          <w:rStyle w:val="VerbatimChar"/>
        </w:rPr>
        <w:t xml:space="preserve">• Ambition 1  : Organiser le territoire autour des principes de proximité et de complémentarité en tirant profit de son positionnement « entre ville et campagne »      • Objectif 1 : Conserver l’attractivité du territoire en préservant les équilibres générationnels     • Objectif 2 : Renforcer les centralités sur le territoire, en organisant l’offre résidentielle, dans une démarche de sobriété foncière     • Objectif 3 : Équilibrer l’offre commerciale en favorisant le commerce de proximité et en développant une offre commerciale complémentaire     • Objectif 4 : Améliorer la proximité en développant l’offre en équipements et en services à la population     • Objectif 5 : Favoriser les déplacements des habitants en s’appuyant sur des mobilités douces et durables      • Ambition 2 : Renforcer la dynamique économique et engager le territoire dans la transition écologique      • Objectif 1 : Conserver l’identité économique du territoire tout en permettant la diversification de ses activités (économie résidentielle notamment)     • Objectif 2 : Accompagner la transition écologique au sein de l’économie agricole du territoire     • Objectif 3 : Guider le territoire vers la transition énergétique afin de lutter contre les effets du changement climatique     • Objectif 4 : Développer l’accessibilité au numérique pour tous les usagers du territoire      • Ambition 3 : Préserver et développer les atouts et ressources du territoire dans une perspective d’inclusion de tous les habitants      • Objectif 1 : « Préserver les formes urbaines et apporter des réponses adaptées aux différents parcours résidentiels »     • Objectif 2 : « Sauvegarder et valoriser le patrimoine historique naturel ou bâti des centres urbains »     • Objectif 3 : « Préserver les continuités écologiques et milieux aquatiques »     • Objectif 4 : « Affirmer l’identité paysagère comme support au développement d’un tourisme de nature et d’itinérance »     • Objectif 5 : « Gérer durablement les ressources et les risques qu’elles peuvent induire »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24</w:t>
      </w:r>
    </w:p>
    <w:p>
      <w:pPr>
        <w:pStyle w:val="Corpsdetexte"/>
      </w:pPr>
      <w:r>
        <w:t xml:space="preserve">Nombre de fiches projet (opération à travailler) : 55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 : CC des Portes Euréliennes d’Ile de France, SIREN : 200069953, nature : CC</w:t>
      </w:r>
    </w:p>
    <w:p>
      <w:pPr>
        <w:numPr>
          <w:ilvl w:val="0"/>
          <w:numId w:val="1007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2.00M€</w:t>
      </w:r>
    </w:p>
    <w:p>
      <w:pPr>
        <w:pStyle w:val="Corpsdetexte"/>
      </w:pPr>
      <w:r>
        <w:t xml:space="preserve">Montant total prévisionnel en euros des actions en dépenses d’investissement : 15.00M€</w:t>
      </w:r>
    </w:p>
    <w:p>
      <w:pPr>
        <w:pStyle w:val="Corpsdetexte"/>
      </w:pPr>
      <w:r>
        <w:t xml:space="preserve">Montant total en euros des engagements financiers des collectivités locales et leurs établissements publics : 9.55M€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2.00M€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2023-04-12T12:33:50Z</dcterms:created>
  <dcterms:modified xsi:type="dcterms:W3CDTF">2023-04-12T12:33:50Z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