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09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Lacs et Montagnes du Hauts Doubs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Lacs et Montagnes du Haut-Doubs, SIREN : 200069565,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coopération sport, culture jeunesse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Environnement et transition écologique:</w:t>
      </w:r>
    </w:p>
    <w:p>
      <w:pPr>
        <w:numPr>
          <w:ilvl w:val="0"/>
          <w:numId w:val="1005"/>
        </w:numPr>
        <w:pStyle w:val="Compact"/>
      </w:pPr>
      <w:r>
        <w:t xml:space="preserve">Axe 2: Équipement d’enseignement scolaire et périscolaire:</w:t>
      </w:r>
    </w:p>
    <w:p>
      <w:pPr>
        <w:numPr>
          <w:ilvl w:val="0"/>
          <w:numId w:val="1005"/>
        </w:numPr>
        <w:pStyle w:val="Compact"/>
      </w:pPr>
      <w:r>
        <w:t xml:space="preserve">Axe 3: Bâtiments:</w:t>
      </w:r>
    </w:p>
    <w:p>
      <w:pPr>
        <w:numPr>
          <w:ilvl w:val="0"/>
          <w:numId w:val="1005"/>
        </w:numPr>
        <w:pStyle w:val="Compact"/>
      </w:pPr>
      <w:r>
        <w:t xml:space="preserve">Axe 4: Attractivité économique et développement touristique du territoire:</w:t>
      </w:r>
    </w:p>
    <w:p>
      <w:pPr>
        <w:numPr>
          <w:ilvl w:val="0"/>
          <w:numId w:val="1005"/>
        </w:numPr>
        <w:pStyle w:val="Compact"/>
      </w:pPr>
      <w:r>
        <w:t xml:space="preserve">Axe 5: Cadre de vie et mobilité: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33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Représentant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des Lacs et Montagnes du Haut-Doubs, SIREN : 200069565, nature : CC</w:t>
      </w:r>
    </w:p>
    <w:p>
      <w:pPr>
        <w:numPr>
          <w:ilvl w:val="0"/>
          <w:numId w:val="1007"/>
        </w:numPr>
        <w:pStyle w:val="Compact"/>
      </w:pPr>
      <w:r>
        <w:t xml:space="preserve">nom : Doubs, SIREN : 25,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Syndicat mixte du mont D’or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2023-04-12T12:33:03Z</dcterms:created>
  <dcterms:modified xsi:type="dcterms:W3CDTF">2023-04-12T12:33:03Z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