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Dunois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territoire de développement, créateur de richesses et d’emplois, dynamique et attractif</w:t>
      </w:r>
    </w:p>
    <w:p>
      <w:pPr>
        <w:numPr>
          <w:ilvl w:val="0"/>
          <w:numId w:val="1004"/>
        </w:numPr>
        <w:pStyle w:val="Compact"/>
      </w:pPr>
      <w:r>
        <w:t xml:space="preserve">Axe 2 : Un territoire de vie où l’on peut grandir, s’épanouir, vieillir et s’installer</w:t>
      </w:r>
    </w:p>
    <w:p>
      <w:pPr>
        <w:numPr>
          <w:ilvl w:val="0"/>
          <w:numId w:val="1004"/>
        </w:numPr>
        <w:pStyle w:val="Compact"/>
      </w:pPr>
      <w:r>
        <w:t xml:space="preserve">Axe 3 : Un territoire de coopération et de partage au service de l’identité du territoire et de sa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11.11M€</w:t>
      </w:r>
    </w:p>
    <w:p>
      <w:pPr>
        <w:pStyle w:val="Corpsdetexte"/>
      </w:pPr>
      <w:r>
        <w:t xml:space="preserve">Montant total en euros des engagements financiers des collectivités locales et leurs établissements publics : 1.29M€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417 757€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9.40M€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2023-04-12T12:33:12Z</dcterms:created>
  <dcterms:modified xsi:type="dcterms:W3CDTF">2023-04-12T12:33:12Z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