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14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Rochefort Océan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Rochefort Océan, SIREN : 200041762,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Créer une unité territoriale</w:t>
      </w:r>
    </w:p>
    <w:p>
      <w:pPr>
        <w:numPr>
          <w:ilvl w:val="0"/>
          <w:numId w:val="1005"/>
        </w:numPr>
        <w:pStyle w:val="Compact"/>
      </w:pPr>
      <w:r>
        <w:t xml:space="preserve">Enjeu 2 : Préserver et valoriser les ressources et les richesses du territoire</w:t>
      </w:r>
    </w:p>
    <w:p>
      <w:pPr>
        <w:numPr>
          <w:ilvl w:val="0"/>
          <w:numId w:val="1005"/>
        </w:numPr>
        <w:pStyle w:val="Compact"/>
      </w:pPr>
      <w:r>
        <w:t xml:space="preserve">Enjeu 3 : Innover et rayonner au-delà du territoire de la CARO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2.96M€</w:t>
      </w:r>
    </w:p>
    <w:p>
      <w:pPr>
        <w:pStyle w:val="Corpsdetexte"/>
      </w:pPr>
      <w:r>
        <w:t xml:space="preserve">Montant total prévisionnel en euros des actions en dépenses d’investissement : 198.92M€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2023-04-12T12:24:37Z</dcterms:created>
  <dcterms:modified xsi:type="dcterms:W3CDTF">2023-04-12T12:24:37Z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