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hery.ramilijaona@aube.gouv.fr</w:t>
      </w:r>
    </w:p>
    <w:p>
      <w:pPr>
        <w:pStyle w:val="Corpsdetexte"/>
      </w:pPr>
      <w:r>
        <w:t xml:space="preserve">Date de signature du CRTE : 20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Othe-Armance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Othe-Armance, SIREN : 200077873, nature : PETR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Aube, SIREN : 10,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POCE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économie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cohésion sociale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72</w:t>
      </w:r>
    </w:p>
    <w:p>
      <w:pPr>
        <w:pStyle w:val="Corpsdetexte"/>
      </w:pPr>
      <w:r>
        <w:t xml:space="preserve">Nombre de fiches projet (opération à travailler) : 54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du Chaourçois et du Val d’Armance, SIREN : 200071041,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d’Othe, SIREN : 241000447, nature : CC</w:t>
      </w:r>
    </w:p>
    <w:p>
      <w:pPr>
        <w:numPr>
          <w:ilvl w:val="0"/>
          <w:numId w:val="1007"/>
        </w:numPr>
        <w:pStyle w:val="Compact"/>
      </w:pPr>
      <w:r>
        <w:t xml:space="preserve">nom : PETR Othe-Armance, SIREN : 200077873, nature : PETR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Aube, SIREN : 10,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2023-04-12T12:26:24Z</dcterms:created>
  <dcterms:modified xsi:type="dcterms:W3CDTF">2023-04-12T12:26:24Z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