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pref-sgad@alpes-de-haute-provence.gouv.fr</w:t>
      </w:r>
    </w:p>
    <w:p>
      <w:pPr>
        <w:pStyle w:val="Corpsdetexte"/>
      </w:pPr>
      <w:r>
        <w:t xml:space="preserve">Date de signature du CRTE : 08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Provence Alpes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AHP</w:t>
      </w:r>
    </w:p>
    <w:p>
      <w:pPr>
        <w:numPr>
          <w:ilvl w:val="0"/>
          <w:numId w:val="1001"/>
        </w:numPr>
        <w:pStyle w:val="Compact"/>
      </w:pPr>
      <w:r>
        <w:t xml:space="preserve">nom : CA Provence-Alpes-Agglomération, SIREN : 200067437,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CMAR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PLH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PAT en cours de réalisation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CDST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Energies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 et intermodalité</w:t>
      </w:r>
    </w:p>
    <w:p>
      <w:pPr>
        <w:numPr>
          <w:ilvl w:val="0"/>
          <w:numId w:val="1005"/>
        </w:numPr>
        <w:pStyle w:val="Compact"/>
      </w:pPr>
      <w:r>
        <w:t xml:space="preserve">Biodiversité et protection des milieux</w:t>
      </w:r>
    </w:p>
    <w:p>
      <w:pPr>
        <w:numPr>
          <w:ilvl w:val="0"/>
          <w:numId w:val="1005"/>
        </w:numPr>
        <w:pStyle w:val="Compact"/>
      </w:pPr>
      <w:r>
        <w:t xml:space="preserve">Axe 2 : solidarité territoriale</w:t>
      </w:r>
    </w:p>
    <w:p>
      <w:pPr>
        <w:numPr>
          <w:ilvl w:val="0"/>
          <w:numId w:val="1005"/>
        </w:numPr>
        <w:pStyle w:val="Compact"/>
      </w:pPr>
      <w:r>
        <w:t xml:space="preserve">Accessibilité aux équipements structurants</w:t>
      </w:r>
    </w:p>
    <w:p>
      <w:pPr>
        <w:numPr>
          <w:ilvl w:val="0"/>
          <w:numId w:val="1005"/>
        </w:numPr>
        <w:pStyle w:val="Compact"/>
      </w:pPr>
      <w:r>
        <w:t xml:space="preserve">Eau, assainissement, gestion des risques</w:t>
      </w:r>
    </w:p>
    <w:p>
      <w:pPr>
        <w:numPr>
          <w:ilvl w:val="0"/>
          <w:numId w:val="1005"/>
        </w:numPr>
        <w:pStyle w:val="Compact"/>
      </w:pPr>
      <w:r>
        <w:t xml:space="preserve">Stratégie pleine santé</w:t>
      </w:r>
    </w:p>
    <w:p>
      <w:pPr>
        <w:numPr>
          <w:ilvl w:val="0"/>
          <w:numId w:val="1005"/>
        </w:numPr>
        <w:pStyle w:val="Compact"/>
      </w:pPr>
      <w:r>
        <w:t xml:space="preserve">Axe 3 : Tourisme durable</w:t>
      </w:r>
    </w:p>
    <w:p>
      <w:pPr>
        <w:numPr>
          <w:ilvl w:val="0"/>
          <w:numId w:val="1005"/>
        </w:numPr>
        <w:pStyle w:val="Compact"/>
      </w:pPr>
      <w:r>
        <w:t xml:space="preserve">Diversification et modernisation des équipements</w:t>
      </w:r>
    </w:p>
    <w:p>
      <w:pPr>
        <w:numPr>
          <w:ilvl w:val="0"/>
          <w:numId w:val="1005"/>
        </w:numPr>
        <w:pStyle w:val="Compact"/>
      </w:pPr>
      <w:r>
        <w:t xml:space="preserve">Cohérence et structuration des offres et acteurs</w:t>
      </w:r>
    </w:p>
    <w:p>
      <w:pPr>
        <w:numPr>
          <w:ilvl w:val="0"/>
          <w:numId w:val="1005"/>
        </w:numPr>
        <w:pStyle w:val="Compact"/>
      </w:pPr>
      <w:r>
        <w:t xml:space="preserve">Stratégie montagne et équilibre territorial</w:t>
      </w:r>
    </w:p>
    <w:p>
      <w:pPr>
        <w:numPr>
          <w:ilvl w:val="0"/>
          <w:numId w:val="1005"/>
        </w:numPr>
        <w:pStyle w:val="Compact"/>
      </w:pPr>
      <w:r>
        <w:t xml:space="preserve">Axe 4 : Attractivité économique</w:t>
      </w:r>
    </w:p>
    <w:p>
      <w:pPr>
        <w:numPr>
          <w:ilvl w:val="0"/>
          <w:numId w:val="1005"/>
        </w:numPr>
        <w:pStyle w:val="Compact"/>
      </w:pPr>
      <w:r>
        <w:t xml:space="preserve">Agriculture, alimentation et circuits courts</w:t>
      </w:r>
    </w:p>
    <w:p>
      <w:pPr>
        <w:numPr>
          <w:ilvl w:val="0"/>
          <w:numId w:val="1005"/>
        </w:numPr>
        <w:pStyle w:val="Compact"/>
      </w:pPr>
      <w:r>
        <w:t xml:space="preserve">Revitalisation des centres-villes/bourgs</w:t>
      </w:r>
    </w:p>
    <w:p>
      <w:pPr>
        <w:numPr>
          <w:ilvl w:val="0"/>
          <w:numId w:val="1005"/>
        </w:numPr>
        <w:pStyle w:val="Compact"/>
      </w:pPr>
      <w:r>
        <w:t xml:space="preserve">Développement et requalification des ZAE</w:t>
      </w:r>
    </w:p>
    <w:p>
      <w:pPr>
        <w:numPr>
          <w:ilvl w:val="0"/>
          <w:numId w:val="1005"/>
        </w:numPr>
        <w:pStyle w:val="Compact"/>
      </w:pPr>
      <w:r>
        <w:t xml:space="preserve">Suivi du plan de relance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 l’habitat et des bâtiments publics</w:t>
      </w:r>
    </w:p>
    <w:p>
      <w:pPr>
        <w:numPr>
          <w:ilvl w:val="0"/>
          <w:numId w:val="1005"/>
        </w:numPr>
        <w:pStyle w:val="Compact"/>
      </w:pPr>
      <w:r>
        <w:t xml:space="preserve">Soutien aux énergies locales et renouvelables</w:t>
      </w:r>
    </w:p>
    <w:p>
      <w:pPr>
        <w:numPr>
          <w:ilvl w:val="0"/>
          <w:numId w:val="1005"/>
        </w:numPr>
        <w:pStyle w:val="Compact"/>
      </w:pPr>
      <w:r>
        <w:t xml:space="preserve">Déchets et réemploi</w:t>
      </w:r>
    </w:p>
    <w:p>
      <w:pPr>
        <w:numPr>
          <w:ilvl w:val="0"/>
          <w:numId w:val="1005"/>
        </w:numPr>
        <w:pStyle w:val="Compact"/>
      </w:pPr>
      <w:r>
        <w:t xml:space="preserve">Montée en gamme et amélioration de la qualité de l’offre touristique</w:t>
      </w:r>
    </w:p>
    <w:p>
      <w:pPr>
        <w:numPr>
          <w:ilvl w:val="0"/>
          <w:numId w:val="1005"/>
        </w:numPr>
        <w:pStyle w:val="Compact"/>
      </w:pPr>
      <w:r>
        <w:t xml:space="preserve">Structuration, professionnalisation, mise en réseau synergie des acteurs</w:t>
      </w:r>
    </w:p>
    <w:p>
      <w:pPr>
        <w:numPr>
          <w:ilvl w:val="0"/>
          <w:numId w:val="1005"/>
        </w:numPr>
        <w:pStyle w:val="Compact"/>
      </w:pPr>
      <w:r>
        <w:t xml:space="preserve">Valorisation des savoirs-faire</w:t>
      </w:r>
    </w:p>
    <w:p>
      <w:pPr>
        <w:numPr>
          <w:ilvl w:val="0"/>
          <w:numId w:val="1005"/>
        </w:numPr>
        <w:pStyle w:val="Compact"/>
      </w:pPr>
      <w:r>
        <w:t xml:space="preserve">Préservation des patrimoines</w:t>
      </w:r>
    </w:p>
    <w:p>
      <w:pPr>
        <w:numPr>
          <w:ilvl w:val="0"/>
          <w:numId w:val="1005"/>
        </w:numPr>
        <w:pStyle w:val="Compact"/>
      </w:pPr>
      <w:r>
        <w:t xml:space="preserve">Diffusion culturelle</w:t>
      </w:r>
    </w:p>
    <w:p>
      <w:pPr>
        <w:numPr>
          <w:ilvl w:val="0"/>
          <w:numId w:val="1005"/>
        </w:numPr>
        <w:pStyle w:val="Compact"/>
      </w:pPr>
      <w:r>
        <w:t xml:space="preserve">Solidarité et accessibilité aux services publics de proximité</w:t>
      </w:r>
    </w:p>
    <w:p>
      <w:pPr>
        <w:numPr>
          <w:ilvl w:val="0"/>
          <w:numId w:val="1005"/>
        </w:numPr>
        <w:pStyle w:val="Compact"/>
      </w:pPr>
      <w:r>
        <w:t xml:space="preserve">Mobilités solidaires</w:t>
      </w:r>
    </w:p>
    <w:p>
      <w:pPr>
        <w:numPr>
          <w:ilvl w:val="0"/>
          <w:numId w:val="1005"/>
        </w:numPr>
        <w:pStyle w:val="Compact"/>
      </w:pPr>
      <w:r>
        <w:t xml:space="preserve">Accompagnement des dynamiques d’eco-quartiers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72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Provence-Alpes-Agglomération, SIREN : 200067437, nature : CA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CMA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2023-04-12T12:25:49Z</dcterms:created>
  <dcterms:modified xsi:type="dcterms:W3CDTF">2023-04-12T12:25:49Z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