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pref-mic@alllier.gouv.fr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Bocage Bourbonnais</w:t>
      </w:r>
    </w:p>
    <w:p>
      <w:pPr>
        <w:pStyle w:val="Corpsdetexte"/>
      </w:pPr>
      <w:r>
        <w:t xml:space="preserve">Si protocole de préfiguration : date de signature : 2021-10-19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 : CC du Bocage Bourbonnais, SIREN : 200071496,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éco système renforçnt l’économie locale, ses entreprises et l’emploi.</w:t>
      </w:r>
    </w:p>
    <w:p>
      <w:pPr>
        <w:numPr>
          <w:ilvl w:val="0"/>
          <w:numId w:val="1005"/>
        </w:numPr>
        <w:pStyle w:val="Compact"/>
      </w:pPr>
      <w:r>
        <w:t xml:space="preserve">Axe 2 : un territoire valorisant ses bourgs et favorisant leur revitalisation pour répondre aux besoins de la population actuelle et attirer de nouvelles populations</w:t>
      </w:r>
    </w:p>
    <w:p>
      <w:pPr>
        <w:numPr>
          <w:ilvl w:val="0"/>
          <w:numId w:val="1005"/>
        </w:numPr>
        <w:pStyle w:val="Compact"/>
      </w:pPr>
      <w:r>
        <w:t xml:space="preserve">Axe 3 : un territoire animé, qui sait valoriser ses différents atouts et les rendre accessibles pour ses habitants et ses visiteurs.</w:t>
      </w:r>
    </w:p>
    <w:p>
      <w:pPr>
        <w:numPr>
          <w:ilvl w:val="0"/>
          <w:numId w:val="1005"/>
        </w:numPr>
        <w:pStyle w:val="Compact"/>
      </w:pPr>
      <w:r>
        <w:t xml:space="preserve">Axe 4 : un territoire souciaux de son environnement, qui s’adapte et agit face au changement climatique.</w:t>
      </w:r>
    </w:p>
    <w:p>
      <w:pPr>
        <w:numPr>
          <w:ilvl w:val="0"/>
          <w:numId w:val="1005"/>
        </w:numPr>
        <w:pStyle w:val="Compact"/>
      </w:pPr>
      <w:r>
        <w:t xml:space="preserve">Axe 5 : un territoire solidaire, de mixité et intergénérationnel.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Bocage Bourbonnais, SIREN : 200071496,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2023-04-12T12:26:59Z</dcterms:created>
  <dcterms:modified xsi:type="dcterms:W3CDTF">2023-04-12T12:26:59Z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