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sania.belenus@guadeloupe.gouv.fr</w:t>
      </w:r>
    </w:p>
    <w:p>
      <w:pPr>
        <w:pStyle w:val="TextBody"/>
      </w:pPr>
      <w:r>
        <w:t xml:space="preserve">Date de signature du CRTE : 08 février 2022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CAP Excellence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CA CAP Excellence, nature: CA, SIREN: 200018653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Schéma directeur territorial d’aménagement numérique (SDTAN)</w:t>
      </w:r>
    </w:p>
    <w:p>
      <w:pPr>
        <w:numPr>
          <w:ilvl w:val="0"/>
          <w:numId w:val="1001"/>
        </w:numPr>
        <w:pStyle w:val="Compact"/>
      </w:pPr>
      <w:r>
        <w:t xml:space="preserve">Stratégie de cohérence régional d’aménagement numérique (SCoRAN)</w:t>
      </w:r>
    </w:p>
    <w:p>
      <w:pPr>
        <w:numPr>
          <w:ilvl w:val="0"/>
          <w:numId w:val="1001"/>
        </w:numPr>
        <w:pStyle w:val="Compact"/>
      </w:pPr>
      <w:r>
        <w:t xml:space="preserve">Plan de Développement de l’Economie Numérique (PDEN)</w:t>
      </w:r>
    </w:p>
    <w:p>
      <w:pPr>
        <w:numPr>
          <w:ilvl w:val="0"/>
          <w:numId w:val="1001"/>
        </w:numPr>
        <w:pStyle w:val="Compact"/>
      </w:pPr>
      <w:r>
        <w:t xml:space="preserve">Schéma Directeur des Usages Numériques (SDUN)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Plan Intercommunal de Lutte contre l’Habitat Indigne (PILHI)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SRADDET</w:t>
      </w:r>
    </w:p>
    <w:p>
      <w:pPr>
        <w:numPr>
          <w:ilvl w:val="0"/>
          <w:numId w:val="1001"/>
        </w:numPr>
        <w:pStyle w:val="Compact"/>
      </w:pPr>
      <w:r>
        <w:t xml:space="preserve">PLIE</w:t>
      </w:r>
    </w:p>
    <w:p>
      <w:pPr>
        <w:numPr>
          <w:ilvl w:val="0"/>
          <w:numId w:val="1001"/>
        </w:numPr>
        <w:pStyle w:val="Compact"/>
      </w:pPr>
      <w:r>
        <w:t xml:space="preserve">Plan local de prévention des déchets ménagers et assimilés (PLPDMA)</w:t>
      </w:r>
    </w:p>
    <w:p>
      <w:pPr>
        <w:numPr>
          <w:ilvl w:val="0"/>
          <w:numId w:val="1001"/>
        </w:numPr>
        <w:pStyle w:val="Compact"/>
      </w:pPr>
      <w:r>
        <w:t xml:space="preserve">Schéma régional climat air énergie (SRCAE)</w:t>
      </w:r>
    </w:p>
    <w:p>
      <w:pPr>
        <w:numPr>
          <w:ilvl w:val="0"/>
          <w:numId w:val="1001"/>
        </w:numPr>
        <w:pStyle w:val="Compact"/>
      </w:pPr>
      <w:r>
        <w:t xml:space="preserve">SDAGE</w:t>
      </w:r>
    </w:p>
    <w:p>
      <w:pPr>
        <w:numPr>
          <w:ilvl w:val="0"/>
          <w:numId w:val="1001"/>
        </w:numPr>
        <w:pStyle w:val="Compact"/>
      </w:pPr>
      <w:r>
        <w:t xml:space="preserve">plan régional de prévention et de gestion des déchets (PRPGD)</w:t>
      </w:r>
    </w:p>
    <w:p>
      <w:pPr>
        <w:numPr>
          <w:ilvl w:val="0"/>
          <w:numId w:val="1001"/>
        </w:numPr>
        <w:pStyle w:val="Compact"/>
      </w:pPr>
      <w:r>
        <w:t xml:space="preserve">PLU</w:t>
      </w:r>
    </w:p>
    <w:p>
      <w:pPr>
        <w:numPr>
          <w:ilvl w:val="0"/>
          <w:numId w:val="1001"/>
        </w:numPr>
        <w:pStyle w:val="Compact"/>
      </w:pPr>
      <w:r>
        <w:t xml:space="preserve">PDU</w:t>
      </w:r>
    </w:p>
    <w:p>
      <w:pPr>
        <w:numPr>
          <w:ilvl w:val="0"/>
          <w:numId w:val="1001"/>
        </w:numPr>
        <w:pStyle w:val="Compact"/>
      </w:pPr>
      <w:r>
        <w:t xml:space="preserve">PASEC</w:t>
      </w:r>
    </w:p>
    <w:p>
      <w:pPr>
        <w:numPr>
          <w:ilvl w:val="0"/>
          <w:numId w:val="1001"/>
        </w:numPr>
        <w:pStyle w:val="Compact"/>
      </w:pPr>
      <w:r>
        <w:t xml:space="preserve">SDDE</w:t>
      </w:r>
    </w:p>
    <w:p>
      <w:pPr>
        <w:numPr>
          <w:ilvl w:val="0"/>
          <w:numId w:val="1001"/>
        </w:numPr>
        <w:pStyle w:val="Compact"/>
      </w:pPr>
      <w:r>
        <w:t xml:space="preserve">Stratégie patrimoniale et immobilière</w:t>
      </w:r>
    </w:p>
    <w:p>
      <w:pPr>
        <w:numPr>
          <w:ilvl w:val="0"/>
          <w:numId w:val="1001"/>
        </w:numPr>
        <w:pStyle w:val="Compact"/>
      </w:pPr>
      <w:r>
        <w:t xml:space="preserve">Stratégie foncière</w:t>
      </w:r>
    </w:p>
    <w:p>
      <w:pPr>
        <w:numPr>
          <w:ilvl w:val="0"/>
          <w:numId w:val="1001"/>
        </w:numPr>
        <w:pStyle w:val="Compact"/>
      </w:pPr>
      <w:r>
        <w:t xml:space="preserve">Plan paysage des grands fonds</w:t>
      </w:r>
    </w:p>
    <w:p>
      <w:pPr>
        <w:numPr>
          <w:ilvl w:val="0"/>
          <w:numId w:val="1001"/>
        </w:numPr>
        <w:pStyle w:val="Compact"/>
      </w:pPr>
      <w:r>
        <w:t xml:space="preserve">SREII</w:t>
      </w:r>
    </w:p>
    <w:p>
      <w:pPr>
        <w:numPr>
          <w:ilvl w:val="0"/>
          <w:numId w:val="1001"/>
        </w:numPr>
        <w:pStyle w:val="Compact"/>
      </w:pPr>
      <w:r>
        <w:t xml:space="preserve">CCT</w:t>
      </w:r>
    </w:p>
    <w:p>
      <w:pPr>
        <w:numPr>
          <w:ilvl w:val="0"/>
          <w:numId w:val="1001"/>
        </w:numPr>
        <w:pStyle w:val="Compact"/>
      </w:pPr>
      <w:r>
        <w:t xml:space="preserve">PAPI</w:t>
      </w:r>
    </w:p>
    <w:p>
      <w:pPr>
        <w:numPr>
          <w:ilvl w:val="0"/>
          <w:numId w:val="1001"/>
        </w:numPr>
        <w:pStyle w:val="Compact"/>
      </w:pPr>
      <w:r>
        <w:t xml:space="preserve">Stratégie locale de gestion du risque inondation</w:t>
      </w:r>
    </w:p>
    <w:p>
      <w:pPr>
        <w:numPr>
          <w:ilvl w:val="0"/>
          <w:numId w:val="1001"/>
        </w:numPr>
        <w:pStyle w:val="Compact"/>
      </w:pPr>
      <w:r>
        <w:t xml:space="preserve">NPRNU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numPr>
          <w:ilvl w:val="0"/>
          <w:numId w:val="1002"/>
        </w:numPr>
        <w:pStyle w:val="Compact"/>
      </w:pPr>
      <w:r>
        <w:t xml:space="preserve">NPRU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Projets alimentaires territoriaux</w:t>
      </w:r>
    </w:p>
    <w:p>
      <w:pPr>
        <w:numPr>
          <w:ilvl w:val="0"/>
          <w:numId w:val="1002"/>
        </w:numPr>
        <w:pStyle w:val="Compact"/>
      </w:pPr>
      <w:r>
        <w:t xml:space="preserve">contrat territorial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OS 1 : Bâtir un modèle économique viable</w:t>
      </w:r>
    </w:p>
    <w:p>
      <w:pPr>
        <w:numPr>
          <w:ilvl w:val="0"/>
          <w:numId w:val="1004"/>
        </w:numPr>
        <w:pStyle w:val="Compact"/>
      </w:pPr>
      <w:r>
        <w:t xml:space="preserve">OS 2 : Accompagner les mutations de notre société</w:t>
      </w:r>
    </w:p>
    <w:p>
      <w:pPr>
        <w:numPr>
          <w:ilvl w:val="0"/>
          <w:numId w:val="1004"/>
        </w:numPr>
        <w:pStyle w:val="Compact"/>
      </w:pPr>
      <w:r>
        <w:t xml:space="preserve">OS 3 : Faire face aux défis environnementaux</w:t>
      </w:r>
    </w:p>
    <w:p>
      <w:pPr>
        <w:numPr>
          <w:ilvl w:val="0"/>
          <w:numId w:val="1004"/>
        </w:numPr>
        <w:pStyle w:val="Compact"/>
      </w:pPr>
      <w:r>
        <w:t xml:space="preserve">OS 4 : Aménager raisonnablement notre territoire</w:t>
      </w:r>
    </w:p>
    <w:p>
      <w:pPr>
        <w:numPr>
          <w:ilvl w:val="0"/>
          <w:numId w:val="1004"/>
        </w:numPr>
        <w:pStyle w:val="Compact"/>
      </w:pPr>
      <w:r>
        <w:t xml:space="preserve">OS5 : Améliorer l’efficacité des interventions publiques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pStyle w:val="FirstParagraph"/>
      </w:pPr>
      <w:r>
        <w:t xml:space="preserve">Nombre de fiches action (opération prête à démarrer) : 15</w:t>
      </w:r>
    </w:p>
    <w:p>
      <w:pPr>
        <w:pStyle w:val="TextBody"/>
      </w:pPr>
      <w:r>
        <w:t xml:space="preserve">Nombre de fiches projet (opération à travailler) : 73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CA CAP Excellence, nature: CA, SIREN: 200018653</w:t>
      </w:r>
    </w:p>
    <w:p>
      <w:pPr>
        <w:numPr>
          <w:ilvl w:val="0"/>
          <w:numId w:val="1006"/>
        </w:numPr>
        <w:pStyle w:val="Compact"/>
      </w:pPr>
      <w:r>
        <w:t xml:space="preserve">Nom: Guadeloupe, nature: region, SIREN: 01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AFD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Nom: Pointe-à-Pitre, nature: commune, SIREN: 97120</w:t>
      </w:r>
    </w:p>
    <w:p>
      <w:pPr>
        <w:numPr>
          <w:ilvl w:val="0"/>
          <w:numId w:val="1006"/>
        </w:numPr>
        <w:pStyle w:val="Compact"/>
      </w:pPr>
      <w:r>
        <w:t xml:space="preserve">Nom: Baie-Mahault, nature: commune, SIREN: 97103</w:t>
      </w:r>
    </w:p>
    <w:p>
      <w:pPr>
        <w:numPr>
          <w:ilvl w:val="0"/>
          <w:numId w:val="1006"/>
        </w:numPr>
        <w:pStyle w:val="Compact"/>
      </w:pPr>
      <w:r>
        <w:t xml:space="preserve">Nom: Les Abymes, nature: commune, SIREN: 97101</w:t>
      </w:r>
    </w:p>
    <w:p>
      <w:pPr>
        <w:numPr>
          <w:ilvl w:val="0"/>
          <w:numId w:val="1006"/>
        </w:numPr>
        <w:pStyle w:val="Compact"/>
      </w:pPr>
      <w:r>
        <w:t xml:space="preserve">Nom: Guadeloupe, nature: departement, SIREN: 971</w:t>
      </w:r>
    </w:p>
    <w:p>
      <w:pPr>
        <w:pStyle w:val="FirstParagraph"/>
      </w:pPr>
      <w:r>
        <w:t xml:space="preserve">Liste des instances de partenariat mobilisées ou créées : Comité des financeurs, Conseil de développement, et Conseil citoyen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Ademe, Conseil départemental, Région, Préfecture, Banque des territoires, AFD, Commune de Pointe-à-Pitre, Commune de Baie-Mahault, Commune des Abymes, EPF de Guadeloupe, La chambre d’agriculture de Guadeloupe, La chambre des métiers et de l’artisanat, et La chambre de commerce et d’industrie</w:t>
      </w:r>
    </w:p>
    <w:p>
      <w:pPr>
        <w:pStyle w:val="TextBody"/>
      </w:pPr>
      <w:r>
        <w:t xml:space="preserve">Démarches de co-construction du CRTE : Consultation publique/citoyenne et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7"/>
        </w:numPr>
        <w:pStyle w:val="Compact"/>
      </w:pPr>
      <w:r>
        <w:t xml:space="preserve">Emploi et Insertion</w:t>
      </w:r>
    </w:p>
    <w:p>
      <w:pPr>
        <w:numPr>
          <w:ilvl w:val="0"/>
          <w:numId w:val="1007"/>
        </w:numPr>
        <w:pStyle w:val="Compact"/>
      </w:pPr>
      <w:r>
        <w:t xml:space="preserve">Tourisme durable</w:t>
      </w:r>
    </w:p>
    <w:p>
      <w:pPr>
        <w:numPr>
          <w:ilvl w:val="0"/>
          <w:numId w:val="1007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7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7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7"/>
        </w:numPr>
        <w:pStyle w:val="Compact"/>
      </w:pPr>
      <w:r>
        <w:t xml:space="preserve">Circuits courts agricoles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1.25M€</w:t>
      </w:r>
    </w:p>
    <w:p>
      <w:pPr>
        <w:pStyle w:val="TextBody"/>
      </w:pPr>
      <w:r>
        <w:t xml:space="preserve">Montant total en euros des engagements financiers de l’Etat et de ses opérateurs Plan de relance : 3.89M€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11.91M€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2022-05-06T15:23:25Z</dcterms:created>
  <dcterms:modified xsi:type="dcterms:W3CDTF">2022-05-06T15:23:25Z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