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TextBody"/>
      </w:pPr>
      <w:r>
        <w:t xml:space="preserve">Date de signature du CRTE : 01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Vexin Val de Seine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1"/>
        </w:numPr>
        <w:pStyle w:val="Compact"/>
      </w:pPr>
      <w:r>
        <w:t xml:space="preserve">Nom: CC du Vexin-Val de Seine, nature: CC, SIREN: 249500513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Développement économique : pour un territoire qui crée des emplois</w:t>
      </w:r>
    </w:p>
    <w:p>
      <w:pPr>
        <w:numPr>
          <w:ilvl w:val="0"/>
          <w:numId w:val="1002"/>
        </w:numPr>
        <w:pStyle w:val="Compact"/>
      </w:pPr>
      <w:r>
        <w:t xml:space="preserve">Œuvrer à la transition écologique et énergétique des territoires</w:t>
      </w:r>
    </w:p>
    <w:p>
      <w:pPr>
        <w:numPr>
          <w:ilvl w:val="0"/>
          <w:numId w:val="1002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11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du Vexin-Val de Seine, nature: CC, SIREN: 249500513</w:t>
      </w:r>
    </w:p>
    <w:p>
      <w:pPr>
        <w:numPr>
          <w:ilvl w:val="0"/>
          <w:numId w:val="1004"/>
        </w:numPr>
        <w:pStyle w:val="Compact"/>
      </w:pPr>
      <w:r>
        <w:t xml:space="preserve">Nom: Val-d’Oise, nature: departement, SIREN: 95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