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lucas.mounier@haute-vienne.gouv.fr</w:t>
      </w:r>
    </w:p>
    <w:p>
      <w:pPr>
        <w:pStyle w:val="TextBody"/>
      </w:pPr>
      <w:r>
        <w:t xml:space="preserve">Date de signature du CRTE : 04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Ouest Limousin</w:t>
      </w:r>
    </w:p>
    <w:p>
      <w:pPr>
        <w:pStyle w:val="TextBody"/>
      </w:pPr>
      <w:r>
        <w:t xml:space="preserve">Si protocole de préfiguration : date de signature : 22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Ouest Limousin, nature: CC, SIREN: 200066520</w:t>
      </w:r>
    </w:p>
    <w:p>
      <w:pPr>
        <w:numPr>
          <w:ilvl w:val="0"/>
          <w:numId w:val="1001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Conventionnement avec l’Etablissement Public Foncier de Nouvelle-Aquitaine</w:t>
      </w:r>
    </w:p>
    <w:p>
      <w:pPr>
        <w:numPr>
          <w:ilvl w:val="0"/>
          <w:numId w:val="1003"/>
        </w:numPr>
        <w:pStyle w:val="Compact"/>
      </w:pPr>
      <w:r>
        <w:t xml:space="preserve">Contrats signés avec le Conseil Régional et le Conseil Départemental</w:t>
      </w:r>
    </w:p>
    <w:p>
      <w:pPr>
        <w:numPr>
          <w:ilvl w:val="0"/>
          <w:numId w:val="1003"/>
        </w:numPr>
        <w:pStyle w:val="Compact"/>
      </w:pPr>
      <w:r>
        <w:t xml:space="preserve">Programmation de fonds européens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départemental de développement intercommunal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Des services au public à tous les âges de la vie</w:t>
      </w:r>
    </w:p>
    <w:p>
      <w:pPr>
        <w:numPr>
          <w:ilvl w:val="0"/>
          <w:numId w:val="1005"/>
        </w:numPr>
        <w:pStyle w:val="Compact"/>
      </w:pPr>
      <w:r>
        <w:t xml:space="preserve">Orientation 2 : Valoriser les potentiels touristiques et économiques</w:t>
      </w:r>
    </w:p>
    <w:p>
      <w:pPr>
        <w:numPr>
          <w:ilvl w:val="0"/>
          <w:numId w:val="1005"/>
        </w:numPr>
        <w:pStyle w:val="Compact"/>
      </w:pPr>
      <w:r>
        <w:t xml:space="preserve">Orientation 3 : Améliorer la qualité de vie et celle des milieux naturels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Ouest Limousin, nature: CC, SIREN: 200066520</w:t>
      </w:r>
    </w:p>
    <w:p>
      <w:pPr>
        <w:numPr>
          <w:ilvl w:val="0"/>
          <w:numId w:val="1007"/>
        </w:numPr>
        <w:pStyle w:val="Compact"/>
      </w:pPr>
      <w:r>
        <w:t xml:space="preserve">Nom: Haute-Vienne, nature: departement, SIREN: 87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SM du Parc naturel régional Périgord-Limousin, nature: SMO, SIREN: 258728534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15 000€</w:t>
      </w:r>
    </w:p>
    <w:p>
      <w:pPr>
        <w:pStyle w:val="TextBody"/>
      </w:pPr>
      <w:r>
        <w:t xml:space="preserve">Montant total prévisionnel en euros des actions en dépenses d’investissement : 10.74M€</w:t>
      </w:r>
    </w:p>
    <w:p>
      <w:pPr>
        <w:pStyle w:val="TextBody"/>
      </w:pPr>
      <w:r>
        <w:t xml:space="preserve">Montant total en euros des engagements financiers des collectivités locales et leurs établissements publics : 4.08M€</w:t>
      </w:r>
    </w:p>
    <w:p>
      <w:pPr>
        <w:pStyle w:val="TextBody"/>
      </w:pPr>
      <w:r>
        <w:t xml:space="preserve">Montant total en euros des engagements financiers de l’Etat et de ses opérateurs Plan de relance : 727 164€</w:t>
      </w:r>
    </w:p>
    <w:p>
      <w:pPr>
        <w:pStyle w:val="TextBody"/>
      </w:pPr>
      <w:r>
        <w:t xml:space="preserve">Montant total en euros des engagements financiers de l’Etat et de ses opérateurs hors plan de relance : 2.44M€</w:t>
      </w:r>
    </w:p>
    <w:p>
      <w:pPr>
        <w:pStyle w:val="TextBody"/>
      </w:pPr>
      <w:r>
        <w:t xml:space="preserve">Montant total prévisionnel en euros des cofinancements européens : 40 000€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2022-05-06T15:23:22Z</dcterms:created>
  <dcterms:modified xsi:type="dcterms:W3CDTF">2022-05-06T15:23:22Z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