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morgane.peron@vendee.gouv.fr</w:t>
      </w:r>
    </w:p>
    <w:p>
      <w:pPr>
        <w:pStyle w:val="TextBody"/>
      </w:pPr>
      <w:r>
        <w:t xml:space="preserve">Date de signature du CRTE : 11 février 2022</w:t>
      </w:r>
    </w:p>
    <w:p>
      <w:pPr>
        <w:pStyle w:val="TextBody"/>
      </w:pPr>
      <w:r>
        <w:t xml:space="preserve">Nature juridique de la structure porteuse :</w:t>
      </w:r>
    </w:p>
    <w:p>
      <w:pPr>
        <w:pStyle w:val="TextBody"/>
      </w:pPr>
      <w:r>
        <w:t xml:space="preserve">Nom de la structure porteuse : Commune de l’Île d’Yeu</w:t>
      </w:r>
    </w:p>
    <w:p>
      <w:pPr>
        <w:pStyle w:val="TextBody"/>
      </w:pPr>
      <w:r>
        <w:t xml:space="preserve">Si protocole de préfiguration : date de signature : 19 mai 2021</w:t>
      </w:r>
    </w:p>
    <w:p>
      <w:pPr>
        <w:pStyle w:val="Heading1"/>
      </w:pPr>
      <w:bookmarkStart w:id="21" w:name="signataires"/>
      <w:r>
        <w:t xml:space="preserve">Signataires</w:t>
      </w:r>
      <w:bookmarkEnd w:id="21"/>
    </w:p>
    <w:p>
      <w:pPr>
        <w:pStyle w:val="FirstParagraph"/>
      </w:pPr>
      <w:r>
        <w:t xml:space="preserve">Nature des signataires du CRTE :Nom: L’Île-d’Yeu, nature: commune, SIREN: 85113</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1"/>
        </w:numPr>
        <w:pStyle w:val="Compact"/>
      </w:pPr>
      <w:r>
        <w:t xml:space="preserve">PCAET</w:t>
      </w:r>
    </w:p>
    <w:p>
      <w:pPr>
        <w:numPr>
          <w:ilvl w:val="0"/>
          <w:numId w:val="1001"/>
        </w:numPr>
        <w:pStyle w:val="Compact"/>
      </w:pPr>
      <w:r>
        <w:t xml:space="preserve">TEPCV</w:t>
      </w:r>
    </w:p>
    <w:p>
      <w:pPr>
        <w:pStyle w:val="FirstParagraph"/>
      </w:pPr>
      <w:r>
        <w:t xml:space="preserve">Liste des contrats figurant dans le CRTE :</w:t>
      </w:r>
    </w:p>
    <w:p>
      <w:pPr>
        <w:numPr>
          <w:ilvl w:val="0"/>
          <w:numId w:val="1002"/>
        </w:numPr>
        <w:pStyle w:val="Compact"/>
      </w:pPr>
      <w:r>
        <w:t xml:space="preserve">Contrat local de Santé</w:t>
      </w:r>
    </w:p>
    <w:p>
      <w:pPr>
        <w:numPr>
          <w:ilvl w:val="0"/>
          <w:numId w:val="1002"/>
        </w:numPr>
        <w:pStyle w:val="Compact"/>
      </w:pPr>
      <w:r>
        <w:t xml:space="preserve">Contrat de territoire insulaire</w:t>
      </w:r>
    </w:p>
    <w:p>
      <w:pPr>
        <w:numPr>
          <w:ilvl w:val="0"/>
          <w:numId w:val="1002"/>
        </w:numPr>
        <w:pStyle w:val="Compact"/>
      </w:pPr>
      <w:r>
        <w:t xml:space="preserve">Contrat de transition écologique</w:t>
      </w:r>
    </w:p>
    <w:p>
      <w:pPr>
        <w:numPr>
          <w:ilvl w:val="0"/>
          <w:numId w:val="1002"/>
        </w:numPr>
        <w:pStyle w:val="Compact"/>
      </w:pPr>
      <w:r>
        <w:t xml:space="preserve">Contrat d’insularité</w:t>
      </w:r>
    </w:p>
    <w:p>
      <w:pPr>
        <w:numPr>
          <w:ilvl w:val="0"/>
          <w:numId w:val="1002"/>
        </w:numPr>
        <w:pStyle w:val="Compact"/>
      </w:pPr>
      <w:r>
        <w:t xml:space="preserve">OPAH</w:t>
      </w:r>
    </w:p>
    <w:p>
      <w:pPr>
        <w:numPr>
          <w:ilvl w:val="0"/>
          <w:numId w:val="1002"/>
        </w:numPr>
        <w:pStyle w:val="Compact"/>
      </w:pPr>
      <w:r>
        <w:t xml:space="preserve">Contrat territorial d’éducation artistique et culturelle (CTEAC)</w:t>
      </w:r>
    </w:p>
    <w:p>
      <w:pPr>
        <w:pStyle w:val="FirstParagraph"/>
      </w:pPr>
      <w:r>
        <w:t xml:space="preserve">Liste des programmes de l’ANCT intégrés : Petits villes de demain</w:t>
      </w:r>
    </w:p>
    <w:p>
      <w:pPr>
        <w:pStyle w:val="TextBody"/>
      </w:pPr>
      <w:r>
        <w:t xml:space="preserve">Liste des orientations stratégiques, axes, ambitions, volets, objectifs… :</w:t>
      </w:r>
    </w:p>
    <w:p>
      <w:pPr>
        <w:numPr>
          <w:ilvl w:val="0"/>
          <w:numId w:val="1003"/>
        </w:numPr>
        <w:pStyle w:val="Compact"/>
      </w:pPr>
      <w:r>
        <w:t xml:space="preserve">Le Projet d’Aménagement et de Développement Durable marque les orientations que la commune de l’Île d’Yeu a souhaité inscrire dans son projet de territoire. Il concilie l’équité sociale, le développement économique et la valorisation de l’environnement. Avec pour fil conducteur mixité et qualité, les orientations générales définies ont pour objectif de réduire les inégalités urbaines et traduisent à la fois : une perspective démographique raisonnée avec un objectif de 5 000 habitants permanents - un tissu urbain structuré, diversifié, attractif - un environnement préservé et vzlorisé notamment en préservant et en valorisant les espaces naturels, en améliorant la biodiversité - une ambition qualitative forte pour une qualité urbaine appuyée sur l’espace public, la mixité entre l’habitat et activités, le recours aux énergies propres, le soutien aux nouveaux modes de constructionafin de valoriser le cadre de vie tout en respectant le territoire.</w:t>
      </w:r>
    </w:p>
    <w:p>
      <w:pPr>
        <w:numPr>
          <w:ilvl w:val="0"/>
          <w:numId w:val="1003"/>
        </w:numPr>
        <w:pStyle w:val="Compact"/>
      </w:pPr>
      <w:r>
        <w:t xml:space="preserve">De ces 5 enjeux, 5 grandes orientations générales d’aménagement et d’urbanisme ont été retenus pour structurer le Projet d’Aménagement et de Développement Durable : - Créer les conditions d’un territoire solidaire, harmonieux et de qualité - Améliorer la qualité de l’environnement et du cadre de vie - Développer la multimodalité et engager de nouvelles mobilités respectueuses du cadre naturel, mais aussi vecteur de découverte du territoire - Faire de l’Île d’Yeu un territoire exemplaire et d’expérimentation - Accompagner et accentuer le développement économique islais.</w:t>
      </w:r>
    </w:p>
    <w:p>
      <w:pPr>
        <w:pStyle w:val="FirstParagraph"/>
      </w:pPr>
      <w:r>
        <w:t xml:space="preserve">Réalisation d’un diagnostic initial du territoire : Oui</w:t>
      </w:r>
    </w:p>
    <w:p>
      <w:pPr>
        <w:pStyle w:val="TextBody"/>
      </w:pPr>
      <w:r>
        <w:t xml:space="preserve">Mise à jour du projet de territoire avec l’élaboration du CRTE : NC</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4"/>
        </w:numPr>
        <w:pStyle w:val="Compact"/>
      </w:pPr>
      <w:r>
        <w:t xml:space="preserve">Restauration et alimentation durable</w:t>
      </w:r>
    </w:p>
    <w:p>
      <w:pPr>
        <w:numPr>
          <w:ilvl w:val="0"/>
          <w:numId w:val="1004"/>
        </w:numPr>
        <w:pStyle w:val="Compact"/>
      </w:pPr>
      <w:r>
        <w:t xml:space="preserve">Opération de requalification (friches…)</w:t>
      </w:r>
    </w:p>
    <w:p>
      <w:pPr>
        <w:numPr>
          <w:ilvl w:val="0"/>
          <w:numId w:val="1004"/>
        </w:numPr>
        <w:pStyle w:val="Compact"/>
      </w:pPr>
      <w:r>
        <w:t xml:space="preserve">Espaces publics, espaces verts</w:t>
      </w:r>
    </w:p>
    <w:p>
      <w:pPr>
        <w:numPr>
          <w:ilvl w:val="0"/>
          <w:numId w:val="1004"/>
        </w:numPr>
        <w:pStyle w:val="Compact"/>
      </w:pPr>
      <w:r>
        <w:t xml:space="preserve">Culture et patrimoine</w:t>
      </w:r>
    </w:p>
    <w:p>
      <w:pPr>
        <w:numPr>
          <w:ilvl w:val="0"/>
          <w:numId w:val="1004"/>
        </w:numPr>
        <w:pStyle w:val="Compact"/>
      </w:pPr>
      <w:r>
        <w:t xml:space="preserve">Circuits courts agricoles</w:t>
      </w:r>
    </w:p>
    <w:p>
      <w:pPr>
        <w:numPr>
          <w:ilvl w:val="0"/>
          <w:numId w:val="1004"/>
        </w:numPr>
        <w:pStyle w:val="Compact"/>
      </w:pPr>
      <w:r>
        <w:t xml:space="preserve">Production d’énergies renouvelables</w:t>
      </w:r>
    </w:p>
    <w:p>
      <w:pPr>
        <w:numPr>
          <w:ilvl w:val="0"/>
          <w:numId w:val="1004"/>
        </w:numPr>
        <w:pStyle w:val="Compact"/>
      </w:pPr>
      <w:r>
        <w:t xml:space="preserve">Véhicules électriques, hybrides, GNV, bornes de recharge…</w:t>
      </w:r>
    </w:p>
    <w:p>
      <w:pPr>
        <w:numPr>
          <w:ilvl w:val="0"/>
          <w:numId w:val="1004"/>
        </w:numPr>
        <w:pStyle w:val="Compact"/>
      </w:pPr>
      <w:r>
        <w:t xml:space="preserve">Gestion quantitative et qualitative de l’eau</w:t>
      </w:r>
    </w:p>
    <w:p>
      <w:pPr>
        <w:numPr>
          <w:ilvl w:val="0"/>
          <w:numId w:val="1004"/>
        </w:numPr>
        <w:pStyle w:val="Compact"/>
      </w:pPr>
      <w:r>
        <w:t xml:space="preserve">Mobilités douces</w:t>
      </w:r>
    </w:p>
    <w:p>
      <w:pPr>
        <w:numPr>
          <w:ilvl w:val="0"/>
          <w:numId w:val="1004"/>
        </w:numPr>
        <w:pStyle w:val="Compact"/>
      </w:pPr>
      <w:r>
        <w:t xml:space="preserve">Gestion des risques (inondations…)</w:t>
      </w:r>
    </w:p>
    <w:p>
      <w:pPr>
        <w:numPr>
          <w:ilvl w:val="0"/>
          <w:numId w:val="1004"/>
        </w:numPr>
        <w:pStyle w:val="Compact"/>
      </w:pPr>
      <w:r>
        <w:t xml:space="preserve">Connaissance et protection de la biodiversité et milieux naturels</w:t>
      </w:r>
    </w:p>
    <w:p>
      <w:pPr>
        <w:numPr>
          <w:ilvl w:val="0"/>
          <w:numId w:val="1004"/>
        </w:numPr>
        <w:pStyle w:val="Compact"/>
      </w:pPr>
      <w:r>
        <w:t xml:space="preserve">Gestion, valorisation des déchets, réemploi</w:t>
      </w:r>
    </w:p>
    <w:p>
      <w:pPr>
        <w:numPr>
          <w:ilvl w:val="0"/>
          <w:numId w:val="1004"/>
        </w:numPr>
        <w:pStyle w:val="Compact"/>
      </w:pPr>
      <w:r>
        <w:t xml:space="preserve">Accès à un logement de qualité</w:t>
      </w:r>
    </w:p>
    <w:p>
      <w:pPr>
        <w:numPr>
          <w:ilvl w:val="0"/>
          <w:numId w:val="1004"/>
        </w:numPr>
        <w:pStyle w:val="Compact"/>
      </w:pPr>
      <w:r>
        <w:t xml:space="preserve">Santé et soins</w:t>
      </w:r>
    </w:p>
    <w:p>
      <w:pPr>
        <w:numPr>
          <w:ilvl w:val="0"/>
          <w:numId w:val="1004"/>
        </w:numPr>
        <w:pStyle w:val="Compact"/>
      </w:pPr>
      <w:r>
        <w:t xml:space="preserve">Infrastructure(s) et réseaux (numérique, eau,chaleur…)</w:t>
      </w:r>
    </w:p>
    <w:p>
      <w:pPr>
        <w:pStyle w:val="FirstParagraph"/>
      </w:pPr>
      <w:r>
        <w:t xml:space="preserve">Nombre de fiches action (opération prête à démarrer) : 0</w:t>
      </w:r>
    </w:p>
    <w:p>
      <w:pPr>
        <w:pStyle w:val="TextBody"/>
      </w:pPr>
      <w:r>
        <w:t xml:space="preserve">Nombre de fiches projet (opération à travailler) : 0</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5"/>
        </w:numPr>
        <w:pStyle w:val="Compact"/>
      </w:pPr>
      <w:r>
        <w:t xml:space="preserve">Préfet</w:t>
      </w:r>
    </w:p>
    <w:p>
      <w:pPr>
        <w:numPr>
          <w:ilvl w:val="0"/>
          <w:numId w:val="1005"/>
        </w:numPr>
        <w:pStyle w:val="Compact"/>
      </w:pPr>
      <w:r>
        <w:t xml:space="preserve">Maire de l’Île d’Yeu</w:t>
      </w:r>
    </w:p>
    <w:p>
      <w:pPr>
        <w:pStyle w:val="FirstParagraph"/>
      </w:pPr>
      <w:r>
        <w:t xml:space="preserve">Liste des instances de partenariat mobilisées ou créées :</w:t>
      </w:r>
    </w:p>
    <w:p>
      <w:pPr>
        <w:pStyle w:val="TextBody"/>
      </w:pPr>
      <w:r>
        <w:t xml:space="preserve">Fréquence prévisionnelle annuelle de réunion du COPIL : 1</w:t>
      </w:r>
    </w:p>
    <w:p>
      <w:pPr>
        <w:pStyle w:val="TextBody"/>
      </w:pPr>
      <w:r>
        <w:t xml:space="preserve">Fréquence prévisionnelle annuelle de réunion du comité technique : 1</w:t>
      </w:r>
    </w:p>
    <w:p>
      <w:pPr>
        <w:pStyle w:val="TextBody"/>
      </w:pPr>
      <w:r>
        <w:t xml:space="preserve">Liste des partenaires socio-économiques :</w:t>
      </w:r>
    </w:p>
    <w:p>
      <w:pPr>
        <w:pStyle w:val="TextBody"/>
      </w:pPr>
      <w:r>
        <w:t xml:space="preserve">Démarches de co-construction du CRTE :</w:t>
      </w:r>
    </w:p>
    <w:p>
      <w:pPr>
        <w:pStyle w:val="TextBody"/>
      </w:pPr>
      <w:r>
        <w:t xml:space="preserve">Existence d’un volet de coopération interterritoriale (dont volet transfrontalier) : Non</w:t>
      </w:r>
    </w:p>
    <w:p>
      <w:pPr>
        <w:pStyle w:val="TextBody"/>
      </w:pPr>
      <w:r>
        <w:t xml:space="preserve">Domaines d’action publique de la coopération interterritoriale :</w:t>
      </w:r>
    </w:p>
    <w:p>
      <w:pPr>
        <w:pStyle w:val="TextBody"/>
      </w:pPr>
      <w:r>
        <w:t xml:space="preserve">Définition d’indicateurs de suivi des objectifs opérationnels du CRTE : Oui</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DDTM</w:t>
      </w:r>
    </w:p>
    <w:p>
      <w:pPr>
        <w:pStyle w:val="TextBody"/>
      </w:pPr>
      <w:r>
        <w:t xml:space="preserve">Mobilisation d’une ingénierie externe : ADEME</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2022-05-06T15:23:19Z</dcterms:created>
  <dcterms:modified xsi:type="dcterms:W3CDTF">2022-05-06T15:23:19Z</dcterms:modified>
</cp:coreProperties>
</file>

<file path=docProps/custom.xml><?xml version="1.0" encoding="utf-8"?>
<Properties xmlns="http://schemas.openxmlformats.org/officeDocument/2006/custom-properties" xmlns:vt="http://schemas.openxmlformats.org/officeDocument/2006/docPropsVTypes"/>
</file>