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22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Pays Réunis d’Orange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Pays Réuni d’Orange, nature: CC, SIREN: 248400236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SDAASAP</w:t>
      </w:r>
    </w:p>
    <w:p>
      <w:pPr>
        <w:numPr>
          <w:ilvl w:val="0"/>
          <w:numId w:val="1001"/>
        </w:numPr>
        <w:pStyle w:val="Compact"/>
      </w:pPr>
      <w:r>
        <w:t xml:space="preserve">SRDEII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2"/>
        </w:numPr>
        <w:pStyle w:val="Compact"/>
      </w:pPr>
      <w:r>
        <w:t xml:space="preserve">France Très-Haut débit</w:t>
      </w:r>
    </w:p>
    <w:p>
      <w:pPr>
        <w:numPr>
          <w:ilvl w:val="0"/>
          <w:numId w:val="1002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2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Attractivité économique</w:t>
      </w:r>
    </w:p>
    <w:p>
      <w:pPr>
        <w:numPr>
          <w:ilvl w:val="0"/>
          <w:numId w:val="1003"/>
        </w:numPr>
        <w:pStyle w:val="Compact"/>
      </w:pPr>
      <w:r>
        <w:t xml:space="preserve">Attractivité touristique et culturelle</w:t>
      </w:r>
    </w:p>
    <w:p>
      <w:pPr>
        <w:numPr>
          <w:ilvl w:val="0"/>
          <w:numId w:val="1003"/>
        </w:numPr>
        <w:pStyle w:val="Compact"/>
      </w:pPr>
      <w:r>
        <w:t xml:space="preserve">Attractivité résidentielle : dynamisation des centres communaux</w:t>
      </w:r>
    </w:p>
    <w:p>
      <w:pPr>
        <w:numPr>
          <w:ilvl w:val="0"/>
          <w:numId w:val="1003"/>
        </w:numPr>
        <w:pStyle w:val="Compact"/>
      </w:pPr>
      <w:r>
        <w:t xml:space="preserve">Prise en compte des enjeux environnementaux et d’aménagement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numPr>
          <w:ilvl w:val="0"/>
          <w:numId w:val="1004"/>
        </w:numPr>
        <w:pStyle w:val="Compact"/>
      </w:pPr>
      <w:r>
        <w:t xml:space="preserve">Nom: CC du Pays Réuni d’Orange, nature: CC, SIREN: 248400236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5"/>
        </w:numPr>
        <w:pStyle w:val="Compact"/>
      </w:pPr>
      <w:r>
        <w:t xml:space="preserve">Agence d’urbanisme</w:t>
      </w:r>
    </w:p>
    <w:p>
      <w:pPr>
        <w:numPr>
          <w:ilvl w:val="0"/>
          <w:numId w:val="1005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5"/>
        </w:numPr>
        <w:pStyle w:val="Compact"/>
      </w:pPr>
      <w:r>
        <w:t xml:space="preserve">CAUE</w:t>
      </w:r>
    </w:p>
    <w:p>
      <w:pPr>
        <w:numPr>
          <w:ilvl w:val="0"/>
          <w:numId w:val="1005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1.95M€</w:t>
      </w:r>
    </w:p>
    <w:p>
      <w:pPr>
        <w:pStyle w:val="TextBody"/>
      </w:pPr>
      <w:r>
        <w:t xml:space="preserve">Montant total en euros des engagements financiers de l’Etat et de ses opérateurs Plan de relance : 227 040€</w:t>
      </w:r>
    </w:p>
    <w:p>
      <w:pPr>
        <w:pStyle w:val="TextBody"/>
      </w:pPr>
      <w:r>
        <w:t xml:space="preserve">Montant total en euros des engagements financiers de l’Etat et de ses opérateurs hors plan de relance : 747 453€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2022-05-06T15:23:18Z</dcterms:created>
  <dcterms:modified xsi:type="dcterms:W3CDTF">2022-05-06T15:23:18Z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