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TextBody"/>
      </w:pPr>
      <w:r>
        <w:t xml:space="preserve">Date de signature du CRTE : 22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Ventoux Comtat Venaissin</w:t>
      </w:r>
    </w:p>
    <w:p>
      <w:pPr>
        <w:pStyle w:val="TextBody"/>
      </w:pPr>
      <w:r>
        <w:t xml:space="preserve">Si protocole de préfiguration : date de signature : 19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Ventoux-Comtat-Venaissin (COVE), nature: CA, SIREN: 248400053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Contrat de ville</w:t>
      </w:r>
    </w:p>
    <w:p>
      <w:pPr>
        <w:numPr>
          <w:ilvl w:val="0"/>
          <w:numId w:val="1001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1"/>
        </w:numPr>
        <w:pStyle w:val="Compact"/>
      </w:pPr>
      <w:r>
        <w:t xml:space="preserve">Convention globale CAF</w:t>
      </w:r>
    </w:p>
    <w:p>
      <w:pPr>
        <w:numPr>
          <w:ilvl w:val="0"/>
          <w:numId w:val="1001"/>
        </w:numPr>
        <w:pStyle w:val="Compact"/>
      </w:pPr>
      <w:r>
        <w:t xml:space="preserve">ANAH programme d’opérations d’amélioration de l’habitat</w:t>
      </w:r>
    </w:p>
    <w:p>
      <w:pPr>
        <w:numPr>
          <w:ilvl w:val="0"/>
          <w:numId w:val="1001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1"/>
        </w:numPr>
        <w:pStyle w:val="Compact"/>
      </w:pPr>
      <w:r>
        <w:t xml:space="preserve">Convention EPF Paca</w:t>
      </w:r>
    </w:p>
    <w:p>
      <w:pPr>
        <w:numPr>
          <w:ilvl w:val="0"/>
          <w:numId w:val="1001"/>
        </w:numPr>
        <w:pStyle w:val="Compact"/>
      </w:pPr>
      <w:r>
        <w:t xml:space="preserve">LEADER</w:t>
      </w:r>
    </w:p>
    <w:p>
      <w:pPr>
        <w:numPr>
          <w:ilvl w:val="0"/>
          <w:numId w:val="1001"/>
        </w:numPr>
        <w:pStyle w:val="Compact"/>
      </w:pPr>
      <w:r>
        <w:t xml:space="preserve">FSE</w:t>
      </w:r>
    </w:p>
    <w:p>
      <w:pPr>
        <w:numPr>
          <w:ilvl w:val="0"/>
          <w:numId w:val="1001"/>
        </w:numPr>
        <w:pStyle w:val="Compact"/>
      </w:pPr>
      <w:r>
        <w:t xml:space="preserve">Contrat régional d’équilibre territorial</w:t>
      </w:r>
    </w:p>
    <w:p>
      <w:pPr>
        <w:numPr>
          <w:ilvl w:val="0"/>
          <w:numId w:val="1001"/>
        </w:numPr>
        <w:pStyle w:val="Compact"/>
      </w:pPr>
      <w:r>
        <w:t xml:space="preserve">Contrat agence de l’eau</w:t>
      </w:r>
    </w:p>
    <w:p>
      <w:pPr>
        <w:numPr>
          <w:ilvl w:val="0"/>
          <w:numId w:val="1001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Action cœur de ville</w:t>
      </w:r>
    </w:p>
    <w:p>
      <w:pPr>
        <w:numPr>
          <w:ilvl w:val="0"/>
          <w:numId w:val="1002"/>
        </w:numPr>
        <w:pStyle w:val="Compact"/>
      </w:pPr>
      <w:r>
        <w:t xml:space="preserve">France Très-Haut débit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Développer l’attractivité et l’économie durable du territoire de la CoVe</w:t>
      </w:r>
    </w:p>
    <w:p>
      <w:pPr>
        <w:numPr>
          <w:ilvl w:val="0"/>
          <w:numId w:val="1003"/>
        </w:numPr>
        <w:pStyle w:val="Compact"/>
      </w:pPr>
      <w:r>
        <w:t xml:space="preserve">Assurer l’équilibre et la cohésion du territoire</w:t>
      </w:r>
    </w:p>
    <w:p>
      <w:pPr>
        <w:numPr>
          <w:ilvl w:val="0"/>
          <w:numId w:val="1003"/>
        </w:numPr>
        <w:pStyle w:val="Compact"/>
      </w:pPr>
      <w:r>
        <w:t xml:space="preserve">Réussir la transition énergétique et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CA Ventoux-Comtat-Venaissin (COVE), nature: CA, SIREN: 248400053</w:t>
      </w:r>
    </w:p>
    <w:p>
      <w:pPr>
        <w:numPr>
          <w:ilvl w:val="0"/>
          <w:numId w:val="1005"/>
        </w:numPr>
        <w:pStyle w:val="Compact"/>
      </w:pPr>
      <w:r>
        <w:t xml:space="preserve">Nom: Provence-Alpes-Côte d’Azur, nature: region, SIREN: 93</w:t>
      </w:r>
    </w:p>
    <w:p>
      <w:pPr>
        <w:numPr>
          <w:ilvl w:val="0"/>
          <w:numId w:val="1005"/>
        </w:numPr>
        <w:pStyle w:val="Compact"/>
      </w:pPr>
      <w:r>
        <w:t xml:space="preserve">Nom: Vaucluse, nature: departement, SIREN: 84</w:t>
      </w:r>
    </w:p>
    <w:p>
      <w:pPr>
        <w:pStyle w:val="FirstParagraph"/>
      </w:pPr>
      <w:r>
        <w:t xml:space="preserve">Liste des instances de partenariat mobilisées ou créées : Conférence Territoriale</w:t>
      </w:r>
    </w:p>
    <w:p>
      <w:pPr>
        <w:pStyle w:val="TextBody"/>
      </w:pPr>
      <w:r>
        <w:t xml:space="preserve">Fréquence prévisionnelle annuelle de réunion du COPIL : 3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Collectivités, Opérateurs Publics, et Entreprises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Gestion, valorisation des déchets, réemploi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CAUE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2.52M€</w:t>
      </w:r>
    </w:p>
    <w:p>
      <w:pPr>
        <w:pStyle w:val="TextBody"/>
      </w:pPr>
      <w:r>
        <w:t xml:space="preserve">Montant total en euros des engagements financiers de l’Etat et de ses opérateurs Plan de relance : 138 226€</w:t>
      </w:r>
    </w:p>
    <w:p>
      <w:pPr>
        <w:pStyle w:val="TextBody"/>
      </w:pPr>
      <w:r>
        <w:t xml:space="preserve">Montant total en euros des engagements financiers de l’Etat et de ses opérateurs hors plan de relance : 848 139€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2022-05-06T15:23:19Z</dcterms:created>
  <dcterms:modified xsi:type="dcterms:W3CDTF">2022-05-06T15:23:19Z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