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Aygues Ouvèze en Provence</w:t>
      </w:r>
    </w:p>
    <w:p>
      <w:pPr>
        <w:pStyle w:val="TextBody"/>
      </w:pPr>
      <w:r>
        <w:t xml:space="preserve">Si protocole de préfiguration : date de signature : 19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Aygues-Ouvèze en Provence (CCAOP), nature: CC, SIREN: 248400160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SRDEII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numPr>
          <w:ilvl w:val="0"/>
          <w:numId w:val="1001"/>
        </w:numPr>
        <w:pStyle w:val="Compact"/>
      </w:pPr>
      <w:r>
        <w:t xml:space="preserve">SRCE</w:t>
      </w:r>
    </w:p>
    <w:p>
      <w:pPr>
        <w:numPr>
          <w:ilvl w:val="0"/>
          <w:numId w:val="1001"/>
        </w:numPr>
        <w:pStyle w:val="Compact"/>
      </w:pPr>
      <w:r>
        <w:t xml:space="preserve">Plan de Gestion de la Ressource en Eau (PRGE)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Schéma de Déplacement et de Mobilité Douces</w:t>
      </w:r>
    </w:p>
    <w:p>
      <w:pPr>
        <w:numPr>
          <w:ilvl w:val="0"/>
          <w:numId w:val="1002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Protection de l’Environnement et Valorisation des Ressources</w:t>
      </w:r>
    </w:p>
    <w:p>
      <w:pPr>
        <w:numPr>
          <w:ilvl w:val="0"/>
          <w:numId w:val="1004"/>
        </w:numPr>
        <w:pStyle w:val="Compact"/>
      </w:pPr>
      <w:r>
        <w:t xml:space="preserve">Qualité de vie des habitants</w:t>
      </w:r>
    </w:p>
    <w:p>
      <w:pPr>
        <w:numPr>
          <w:ilvl w:val="0"/>
          <w:numId w:val="1004"/>
        </w:numPr>
        <w:pStyle w:val="Compact"/>
      </w:pPr>
      <w:r>
        <w:t xml:space="preserve">Accompagnement des entreprises dans leur parcours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TextBody"/>
      </w:pPr>
      <w:r>
        <w:t xml:space="preserve">Nombre de fiches projet (opération à travailler) : 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Aygues-Ouvèze en Provence (CCAOP), nature: CC, SIREN: 248400160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Vaucluse et Provence Alpes Côte d’Azur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AURAV</w:t>
      </w:r>
    </w:p>
    <w:p>
      <w:pPr>
        <w:numPr>
          <w:ilvl w:val="0"/>
          <w:numId w:val="1007"/>
        </w:numPr>
        <w:pStyle w:val="Compact"/>
      </w:pPr>
      <w:r>
        <w:t xml:space="preserve">Bureau d’étude Terre d’Urba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15.56M€</w:t>
      </w:r>
    </w:p>
    <w:p>
      <w:pPr>
        <w:pStyle w:val="TextBody"/>
      </w:pPr>
      <w:r>
        <w:t xml:space="preserve">Montant total en euros des engagements financiers de l’Etat et de ses opérateurs Plan de relance : 1.30M€</w:t>
      </w:r>
    </w:p>
    <w:p>
      <w:pPr>
        <w:pStyle w:val="TextBody"/>
      </w:pPr>
      <w:r>
        <w:t xml:space="preserve">Montant total en euros des engagements financiers de l’Etat et de ses opérateurs hors plan de relance : 5.26M€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