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15 janvier 2022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Métropole Toulon Provence Méditerranée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Nom: Métropole Toulon-Provence-Méditerranée, nature: METRO, SIREN: 248300543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métropole écoresponsable, soucieuse de son patrimoine exceptionnel</w:t>
      </w:r>
    </w:p>
    <w:p>
      <w:pPr>
        <w:numPr>
          <w:ilvl w:val="0"/>
          <w:numId w:val="1004"/>
        </w:numPr>
        <w:pStyle w:val="Compact"/>
      </w:pPr>
      <w:r>
        <w:t xml:space="preserve">Une métropole accueillante et solidaire</w:t>
      </w:r>
    </w:p>
    <w:p>
      <w:pPr>
        <w:numPr>
          <w:ilvl w:val="0"/>
          <w:numId w:val="1004"/>
        </w:numPr>
        <w:pStyle w:val="Compact"/>
      </w:pPr>
      <w:r>
        <w:t xml:space="preserve">une métropole compétitive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Métropole Toulon-Provence-Méditerranée, nature: METRO, SIREN: 248300543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446.06M€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55.99M€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