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06 mai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Provence Verte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CA de la Provence Verte, nature: CA, SIREN: 200068104</w:t>
      </w:r>
    </w:p>
    <w:p>
      <w:pPr>
        <w:numPr>
          <w:ilvl w:val="0"/>
          <w:numId w:val="1001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PDALH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React EU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préservation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La valorisation du cadre et de la qualité de vie</w:t>
      </w:r>
    </w:p>
    <w:p>
      <w:pPr>
        <w:numPr>
          <w:ilvl w:val="0"/>
          <w:numId w:val="1005"/>
        </w:numPr>
        <w:pStyle w:val="Compact"/>
      </w:pPr>
      <w:r>
        <w:t xml:space="preserve">La dynamisation de l’économie et la revitalisation du commerce de proximité</w:t>
      </w:r>
    </w:p>
    <w:p>
      <w:pPr>
        <w:numPr>
          <w:ilvl w:val="0"/>
          <w:numId w:val="1005"/>
        </w:numPr>
        <w:pStyle w:val="Compact"/>
      </w:pPr>
      <w:r>
        <w:t xml:space="preserve">l’accessibilité et la qualité des services publics</w:t>
      </w:r>
    </w:p>
    <w:p>
      <w:pPr>
        <w:numPr>
          <w:ilvl w:val="0"/>
          <w:numId w:val="1005"/>
        </w:numPr>
        <w:pStyle w:val="Compact"/>
      </w:pPr>
      <w:r>
        <w:t xml:space="preserve">la mobilité</w:t>
      </w:r>
    </w:p>
    <w:p>
      <w:pPr>
        <w:numPr>
          <w:ilvl w:val="0"/>
          <w:numId w:val="1005"/>
        </w:numPr>
        <w:pStyle w:val="Compact"/>
      </w:pPr>
      <w:r>
        <w:t xml:space="preserve">le tourisme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TextBody"/>
      </w:pPr>
      <w:r>
        <w:t xml:space="preserve">Nombre de fiches projet (opération à travailler) : 26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Provence-Alpes-Côte d’Azur, nature: region, SIREN: 93</w:t>
      </w:r>
    </w:p>
    <w:p>
      <w:pPr>
        <w:numPr>
          <w:ilvl w:val="0"/>
          <w:numId w:val="1007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CA de la Provence Verte, nature: CA, SIREN: 200068104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crédits européens, Agence de l’eau, Banque des Territoires, Var, et Provence Alpes Côte d’Azur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Sensibilisation et animation de la transition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