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Estérel Côte d’Azur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Estérel Côte d’Azur Agglomération, nature: CA, SIREN: 200035319</w:t>
      </w:r>
    </w:p>
    <w:p>
      <w:pPr>
        <w:numPr>
          <w:ilvl w:val="0"/>
          <w:numId w:val="1001"/>
        </w:numPr>
        <w:pStyle w:val="Compact"/>
      </w:pPr>
      <w:r>
        <w:t xml:space="preserve">préfet du Var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Schéma Diresceur Vélo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Schémas d’assainissement, de gestion d’Eau Potable et d’Assainissement des Eaux Pluviales</w:t>
      </w:r>
    </w:p>
    <w:p>
      <w:pPr>
        <w:numPr>
          <w:ilvl w:val="0"/>
          <w:numId w:val="1002"/>
        </w:numPr>
        <w:pStyle w:val="Compact"/>
      </w:pPr>
      <w:r>
        <w:t xml:space="preserve">Labéllisation</w:t>
      </w:r>
      <w:r>
        <w:t xml:space="preserve"> </w:t>
      </w:r>
      <w:r>
        <w:t xml:space="preserve">“</w:t>
      </w:r>
      <w:r>
        <w:t xml:space="preserve">Terre de Jeux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Pacte de gouvernance Estérel Côte d’Azur Agglomération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CRET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  <w:r>
        <w:t xml:space="preserve"> </w:t>
      </w:r>
      <w:r>
        <w:t xml:space="preserve">“</w:t>
      </w:r>
      <w:r>
        <w:t xml:space="preserve">Rénover pour Habiter Mieux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Lutte contre le changement climatique</w:t>
      </w:r>
    </w:p>
    <w:p>
      <w:pPr>
        <w:numPr>
          <w:ilvl w:val="0"/>
          <w:numId w:val="1004"/>
        </w:numPr>
        <w:pStyle w:val="Compact"/>
      </w:pPr>
      <w:r>
        <w:t xml:space="preserve">Gestion de la ressource en eau</w:t>
      </w:r>
    </w:p>
    <w:p>
      <w:pPr>
        <w:numPr>
          <w:ilvl w:val="0"/>
          <w:numId w:val="1004"/>
        </w:numPr>
        <w:pStyle w:val="Compact"/>
      </w:pPr>
      <w:r>
        <w:t xml:space="preserve">Economie circulaire, déchets et lutte contre les pollutions</w:t>
      </w:r>
    </w:p>
    <w:p>
      <w:pPr>
        <w:numPr>
          <w:ilvl w:val="0"/>
          <w:numId w:val="1004"/>
        </w:numPr>
        <w:pStyle w:val="Compact"/>
      </w:pPr>
      <w:r>
        <w:t xml:space="preserve">Biodiversité et protection des espaces naturels, agricoles et sylvicoles</w:t>
      </w:r>
    </w:p>
    <w:p>
      <w:pPr>
        <w:numPr>
          <w:ilvl w:val="0"/>
          <w:numId w:val="1004"/>
        </w:numPr>
        <w:pStyle w:val="Compact"/>
      </w:pPr>
      <w:r>
        <w:t xml:space="preserve">Impact sociétal et emploi</w:t>
      </w:r>
    </w:p>
    <w:p>
      <w:pPr>
        <w:numPr>
          <w:ilvl w:val="0"/>
          <w:numId w:val="1004"/>
        </w:numPr>
        <w:pStyle w:val="Compact"/>
      </w:pPr>
      <w:r>
        <w:t xml:space="preserve">Relance et mutation économique</w:t>
      </w:r>
    </w:p>
    <w:p>
      <w:pPr>
        <w:numPr>
          <w:ilvl w:val="0"/>
          <w:numId w:val="1004"/>
        </w:numPr>
        <w:pStyle w:val="Compact"/>
      </w:pPr>
      <w:r>
        <w:t xml:space="preserve">Adaptation au changement climatique et prévention des risques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de Département, délégué territorial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 sous-préfet de Draguignan ou son représentant</w:t>
      </w:r>
    </w:p>
    <w:p>
      <w:pPr>
        <w:numPr>
          <w:ilvl w:val="0"/>
          <w:numId w:val="1006"/>
        </w:numPr>
        <w:pStyle w:val="Compact"/>
      </w:pPr>
      <w:r>
        <w:t xml:space="preserve">La sous-préfète chargée de mission, déléguée territoriale adjointe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 directeur de la DDTM, délégué territorial adjoint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Les représentants des communes concernées par la convention financière annuelle</w:t>
      </w:r>
    </w:p>
    <w:p>
      <w:pPr>
        <w:numPr>
          <w:ilvl w:val="0"/>
          <w:numId w:val="1006"/>
        </w:numPr>
        <w:pStyle w:val="Compact"/>
      </w:pPr>
      <w:r>
        <w:t xml:space="preserve">Les représentants des collectivités départementales</w:t>
      </w:r>
    </w:p>
    <w:p>
      <w:pPr>
        <w:numPr>
          <w:ilvl w:val="0"/>
          <w:numId w:val="1006"/>
        </w:numPr>
        <w:pStyle w:val="Compact"/>
      </w:pPr>
      <w:r>
        <w:t xml:space="preserve">Les partenaires institutionnels et financiers associées au contrat ainsi que d’autres établissements publics et opérateurs mobilisés en appui au CRTE</w:t>
      </w:r>
    </w:p>
    <w:p>
      <w:pPr>
        <w:numPr>
          <w:ilvl w:val="0"/>
          <w:numId w:val="1006"/>
        </w:numPr>
        <w:pStyle w:val="Compact"/>
      </w:pPr>
      <w:r>
        <w:t xml:space="preserve">Les services de l’État</w:t>
      </w:r>
    </w:p>
    <w:p>
      <w:pPr>
        <w:numPr>
          <w:ilvl w:val="0"/>
          <w:numId w:val="1006"/>
        </w:numPr>
        <w:pStyle w:val="Compact"/>
      </w:pPr>
      <w:r>
        <w:t xml:space="preserve">Les représentants des collectivités régionales</w:t>
      </w:r>
    </w:p>
    <w:p>
      <w:pPr>
        <w:numPr>
          <w:ilvl w:val="0"/>
          <w:numId w:val="1006"/>
        </w:numPr>
        <w:pStyle w:val="Compact"/>
      </w:pPr>
      <w:r>
        <w:t xml:space="preserve">Le président de la communauté d’agglomération ou son représentant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AUDAT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94.88M€</w:t>
      </w:r>
    </w:p>
    <w:p>
      <w:pPr>
        <w:pStyle w:val="TextBody"/>
      </w:pPr>
      <w:r>
        <w:t xml:space="preserve">Montant total en euros des engagements financiers des collectivités locales et leurs établissements publics : 88.06M€</w:t>
      </w:r>
    </w:p>
    <w:p>
      <w:pPr>
        <w:pStyle w:val="TextBody"/>
      </w:pPr>
      <w:r>
        <w:t xml:space="preserve">Montant total en euros des engagements financiers de l’Etat et de ses opérateurs Plan de relance : 438 000€</w:t>
      </w:r>
    </w:p>
    <w:p>
      <w:pPr>
        <w:pStyle w:val="TextBody"/>
      </w:pPr>
      <w:r>
        <w:t xml:space="preserve">Montant total en euros des engagements financiers de l’Etat et de ses opérateurs hors plan de relance : 419 000€</w:t>
      </w:r>
    </w:p>
    <w:p>
      <w:pPr>
        <w:pStyle w:val="TextBody"/>
      </w:pPr>
      <w:r>
        <w:t xml:space="preserve">Montant total prévisionnel en euros des cofinancements européens : 156 727€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