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petr-garonne-quercy-gascogne@orange.fr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Garonne Quercy Gascogne</w:t>
      </w:r>
    </w:p>
    <w:p>
      <w:pPr>
        <w:pStyle w:val="TextBody"/>
      </w:pPr>
      <w:r>
        <w:t xml:space="preserve">Si protocole de préfiguration : date de signature : 30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Garonne-Quercy-Gascogne, nature: PETR, SIREN: 200060523</w:t>
      </w:r>
    </w:p>
    <w:p>
      <w:pPr>
        <w:numPr>
          <w:ilvl w:val="0"/>
          <w:numId w:val="1001"/>
        </w:numPr>
        <w:pStyle w:val="Compact"/>
      </w:pPr>
      <w:r>
        <w:t xml:space="preserve">Nom: Tarn-et-Garonne, nature: departement, SIREN: 82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Contrat de ville et de cohésion urbaine</w:t>
      </w:r>
    </w:p>
    <w:p>
      <w:pPr>
        <w:numPr>
          <w:ilvl w:val="0"/>
          <w:numId w:val="1002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2"/>
        </w:numPr>
        <w:pStyle w:val="Compact"/>
      </w:pPr>
      <w:r>
        <w:t xml:space="preserve">Contrat Bourg centre Occitanie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Grand Site occitanie</w:t>
      </w:r>
    </w:p>
    <w:p>
      <w:pPr>
        <w:numPr>
          <w:ilvl w:val="0"/>
          <w:numId w:val="1002"/>
        </w:numPr>
        <w:pStyle w:val="Compact"/>
      </w:pPr>
      <w:r>
        <w:t xml:space="preserve">Contrat régional unique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Ambition n°1 : Conforter le développement économique et l’attractivité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Orientation n°1-1 : Renforcer la dynamique économique en maintenant et modernisant le tissu local et en attirant de nouvelles activités</w:t>
      </w:r>
    </w:p>
    <w:p>
      <w:pPr>
        <w:numPr>
          <w:ilvl w:val="0"/>
          <w:numId w:val="1004"/>
        </w:numPr>
        <w:pStyle w:val="Compact"/>
      </w:pPr>
      <w:r>
        <w:t xml:space="preserve">Orientation n°1-2 : Etre support au développement de l’ensemble de l’économie et favoriser les nouvelles formes de travail</w:t>
      </w:r>
    </w:p>
    <w:p>
      <w:pPr>
        <w:numPr>
          <w:ilvl w:val="0"/>
          <w:numId w:val="1004"/>
        </w:numPr>
        <w:pStyle w:val="Compact"/>
      </w:pPr>
      <w:r>
        <w:t xml:space="preserve">Orientation n°1-3 : Soutenir l’activité touristique et culturelle et s’adapter aux nouvelles pratiques touristiques</w:t>
      </w:r>
    </w:p>
    <w:p>
      <w:pPr>
        <w:numPr>
          <w:ilvl w:val="0"/>
          <w:numId w:val="1004"/>
        </w:numPr>
        <w:pStyle w:val="Compact"/>
      </w:pPr>
      <w:r>
        <w:t xml:space="preserve">Ambition n°2 : Consolider la cohésion et la solidarité territoriale</w:t>
      </w:r>
    </w:p>
    <w:p>
      <w:pPr>
        <w:numPr>
          <w:ilvl w:val="0"/>
          <w:numId w:val="1004"/>
        </w:numPr>
        <w:pStyle w:val="Compact"/>
      </w:pPr>
      <w:r>
        <w:t xml:space="preserve">Orientation n°2-1 : Garantir une accessibilité renforcée aux services en tenant compte des évolutions socio-démographiques et de l’équilibre territorial</w:t>
      </w:r>
    </w:p>
    <w:p>
      <w:pPr>
        <w:numPr>
          <w:ilvl w:val="0"/>
          <w:numId w:val="1004"/>
        </w:numPr>
        <w:pStyle w:val="Compact"/>
      </w:pPr>
      <w:r>
        <w:t xml:space="preserve">Orientation n°2-2 : Redynamiser les centralités et assurer un cadre de vie de qualité</w:t>
      </w:r>
    </w:p>
    <w:p>
      <w:pPr>
        <w:numPr>
          <w:ilvl w:val="0"/>
          <w:numId w:val="1004"/>
        </w:numPr>
        <w:pStyle w:val="Compact"/>
      </w:pPr>
      <w:r>
        <w:t xml:space="preserve">Orientation n°2-3 : Maintenir la vitalité des activités socio-culturelles, vecteur de cohésion sociale en faveur de tous les publics</w:t>
      </w:r>
    </w:p>
    <w:p>
      <w:pPr>
        <w:numPr>
          <w:ilvl w:val="0"/>
          <w:numId w:val="1004"/>
        </w:numPr>
        <w:pStyle w:val="Compact"/>
      </w:pPr>
      <w:r>
        <w:t xml:space="preserve">Orientation n°2-4 : Assurer la sécurisation des personnes et des infrastructures</w:t>
      </w:r>
    </w:p>
    <w:p>
      <w:pPr>
        <w:numPr>
          <w:ilvl w:val="0"/>
          <w:numId w:val="1004"/>
        </w:numPr>
        <w:pStyle w:val="Compact"/>
      </w:pPr>
      <w:r>
        <w:t xml:space="preserve">Ambition n°3 : Engager durablement la transition écologique</w:t>
      </w:r>
    </w:p>
    <w:p>
      <w:pPr>
        <w:numPr>
          <w:ilvl w:val="0"/>
          <w:numId w:val="1004"/>
        </w:numPr>
        <w:pStyle w:val="Compact"/>
      </w:pPr>
      <w:r>
        <w:t xml:space="preserve">Orientation n°3-1 : Lutter contre l’artificialisation des sols et encourager la réhabilitation des friches urbaines et d’activités</w:t>
      </w:r>
    </w:p>
    <w:p>
      <w:pPr>
        <w:numPr>
          <w:ilvl w:val="0"/>
          <w:numId w:val="1004"/>
        </w:numPr>
        <w:pStyle w:val="Compact"/>
      </w:pPr>
      <w:r>
        <w:t xml:space="preserve">Orientation n°3-2 : Favoriser les mobilités actives, douces et alternatives à l’autosolisme</w:t>
      </w:r>
    </w:p>
    <w:p>
      <w:pPr>
        <w:numPr>
          <w:ilvl w:val="0"/>
          <w:numId w:val="1004"/>
        </w:numPr>
        <w:pStyle w:val="Compact"/>
      </w:pPr>
      <w:r>
        <w:t xml:space="preserve">Orientation n°3-3 : Assurer la transition vers une agriculture durable et favoriser l’alimentation locale</w:t>
      </w:r>
    </w:p>
    <w:p>
      <w:pPr>
        <w:numPr>
          <w:ilvl w:val="0"/>
          <w:numId w:val="1004"/>
        </w:numPr>
        <w:pStyle w:val="Compact"/>
      </w:pPr>
      <w:r>
        <w:t xml:space="preserve">Orientation n°3-4 : Accompagner la transition énergétique pour réduire les consommations et développer les Energies Renouvelables (EnR)</w:t>
      </w:r>
    </w:p>
    <w:p>
      <w:pPr>
        <w:numPr>
          <w:ilvl w:val="0"/>
          <w:numId w:val="1004"/>
        </w:numPr>
        <w:pStyle w:val="Compact"/>
      </w:pPr>
      <w:r>
        <w:t xml:space="preserve">Orientation n°3-5 : Accroître la biodiversité, préserver la ressource en eau et renforcer la résilience au changement climatique</w:t>
      </w:r>
    </w:p>
    <w:p>
      <w:pPr>
        <w:numPr>
          <w:ilvl w:val="0"/>
          <w:numId w:val="1004"/>
        </w:numPr>
        <w:pStyle w:val="Compact"/>
      </w:pPr>
      <w:r>
        <w:t xml:space="preserve">Orientation n°3-6 : Développer l’économie circulaire et assurer une valorisation durable des 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132</w:t>
      </w:r>
    </w:p>
    <w:p>
      <w:pPr>
        <w:pStyle w:val="TextBody"/>
      </w:pPr>
      <w:r>
        <w:t xml:space="preserve">Nombre de fiches projet (opération à travailler) : 840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 de Tarn-et-Garonne</w:t>
      </w:r>
    </w:p>
    <w:p>
      <w:pPr>
        <w:numPr>
          <w:ilvl w:val="0"/>
          <w:numId w:val="1006"/>
        </w:numPr>
        <w:pStyle w:val="Compact"/>
      </w:pPr>
      <w:r>
        <w:t xml:space="preserve">Nom: PETR Garonne-Quercy-Gascogne, nature: PETR, SIREN: 200060523</w:t>
      </w:r>
    </w:p>
    <w:p>
      <w:pPr>
        <w:numPr>
          <w:ilvl w:val="0"/>
          <w:numId w:val="1006"/>
        </w:numPr>
        <w:pStyle w:val="Compact"/>
      </w:pPr>
      <w:r>
        <w:t xml:space="preserve">Nom: Tarn-et-Garonne, nature: departement, SIREN: 82</w:t>
      </w:r>
    </w:p>
    <w:p>
      <w:pPr>
        <w:pStyle w:val="FirstParagraph"/>
      </w:pPr>
      <w:r>
        <w:t xml:space="preserve">Liste des instances de partenariat mobilisées ou créées : Les 6 communautés de communes du PETR, conférence des maires du PETR, et commission Projet de territoire &amp; contractualisations du PETR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collège privé du GAL LEADER et Comité local Territoire d’industrie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2022-05-06T15:23:16Z</dcterms:created>
  <dcterms:modified xsi:type="dcterms:W3CDTF">2022-05-06T15:23:16Z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