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camille.julien@cc-vimeu.fr</w:t>
      </w:r>
    </w:p>
    <w:p>
      <w:pPr>
        <w:pStyle w:val="TextBody"/>
      </w:pPr>
      <w:r>
        <w:t xml:space="preserve">Date de signature du CRTE : 01 juillet 2021</w:t>
      </w:r>
    </w:p>
    <w:p>
      <w:pPr>
        <w:pStyle w:val="TextBody"/>
      </w:pPr>
      <w:r>
        <w:t xml:space="preserve">Nature juridique de la structure porteuse : Communauté de communes</w:t>
      </w:r>
    </w:p>
    <w:p>
      <w:pPr>
        <w:pStyle w:val="TextBody"/>
      </w:pPr>
      <w:r>
        <w:t xml:space="preserve">Nom de la structure porteuse : Communauté de communes du Vimeu</w:t>
      </w:r>
    </w:p>
    <w:p>
      <w:pPr>
        <w:pStyle w:val="TextBody"/>
      </w:pPr>
      <w:r>
        <w:t xml:space="preserve">Si protocole de préfiguration : date de signature : 14 janvier 2021</w:t>
      </w:r>
    </w:p>
    <w:p>
      <w:pPr>
        <w:pStyle w:val="Heading1"/>
      </w:pPr>
      <w:bookmarkStart w:id="21" w:name="signataires"/>
      <w:r>
        <w:t xml:space="preserve">Signataires</w:t>
      </w:r>
      <w:bookmarkEnd w:id="21"/>
    </w:p>
    <w:p>
      <w:pPr>
        <w:pStyle w:val="FirstParagraph"/>
      </w:pPr>
      <w:r>
        <w:t xml:space="preserve">Nature des signataires du CRTE :Nom: CC du Vimeu, nature: CC, SIREN: 200070944</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PCAET</w:t>
      </w:r>
    </w:p>
    <w:p>
      <w:pPr>
        <w:numPr>
          <w:ilvl w:val="0"/>
          <w:numId w:val="1001"/>
        </w:numPr>
        <w:pStyle w:val="Compact"/>
      </w:pPr>
      <w:r>
        <w:t xml:space="preserve">SCOT</w:t>
      </w:r>
    </w:p>
    <w:p>
      <w:pPr>
        <w:pStyle w:val="FirstParagraph"/>
      </w:pPr>
      <w:r>
        <w:t xml:space="preserve">Liste des contrats figurant dans le CRTE : Contrat de transition écologique</w:t>
      </w:r>
    </w:p>
    <w:p>
      <w:pPr>
        <w:pStyle w:val="TextBody"/>
      </w:pPr>
      <w:r>
        <w:t xml:space="preserve">Liste des programmes de l’ANCT intégrés : Territoires d’industrie</w:t>
      </w:r>
    </w:p>
    <w:p>
      <w:pPr>
        <w:pStyle w:val="TextBody"/>
      </w:pPr>
      <w:r>
        <w:t xml:space="preserve">Liste des orientations stratégiques, axes, ambitions, volets, objectifs… :</w:t>
      </w:r>
    </w:p>
    <w:p>
      <w:pPr>
        <w:numPr>
          <w:ilvl w:val="0"/>
          <w:numId w:val="1002"/>
        </w:numPr>
        <w:pStyle w:val="Compact"/>
      </w:pPr>
      <w:r>
        <w:t xml:space="preserve">I-Veiller à un aménagement spatial équilibré et respectueux du développement durable 1.1 Améliorer les conditions de logement sur le territoire 1.2 Contribuer à la lutte contre l’artificialisation excessive des terres 1.3 Conforter l’armature urbaine 1.4 rénover énergétiquement et maintenir les équipements publics de proximité sur l’ensemble du territoire II- Renforcer l’économie locale, agir en faveur de l’emploi 1</w:t>
      </w:r>
    </w:p>
    <w:p>
      <w:pPr>
        <w:numPr>
          <w:ilvl w:val="0"/>
          <w:numId w:val="1002"/>
        </w:numPr>
        <w:pStyle w:val="Compact"/>
      </w:pPr>
      <w:r>
        <w:t xml:space="preserve">2.1 Structurer une agriculture plus globale, 2.2 mainte,ir et étoffer le tissu industriel du Vileu, 2.3 Agir en faveur de la formation, 2.4 Agir en faveur de l’économie sociale et solidaire III-Assurer la réilience du territoire, préserver la nature et le cadre de vie 3.1 Agir dans la lutte contre le réchauffement climatique et s’y adapter, 3.2 Oeuvrer por la bonne qualiét des eaux, 3.3 Poursuivre l’effort en matière de traitement des déchets, 3.4 Accompagner la production des sources d’énergie renouvelable IV Favoriser la mobilité durable 4.1 Favoriser la mobilité pour tous, 4.2 Réduire les mobilités sources de GES, 4.3 Accompagner l’essor des modes de déplacements doux</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3"/>
        </w:numPr>
        <w:pStyle w:val="Compact"/>
      </w:pPr>
      <w:r>
        <w:t xml:space="preserve">Circuits courts agricoles</w:t>
      </w:r>
    </w:p>
    <w:p>
      <w:pPr>
        <w:numPr>
          <w:ilvl w:val="0"/>
          <w:numId w:val="1003"/>
        </w:numPr>
        <w:pStyle w:val="Compact"/>
      </w:pPr>
      <w:r>
        <w:t xml:space="preserve">Pratique agricole durable, agro-écologie</w:t>
      </w:r>
    </w:p>
    <w:p>
      <w:pPr>
        <w:numPr>
          <w:ilvl w:val="0"/>
          <w:numId w:val="1003"/>
        </w:numPr>
        <w:pStyle w:val="Compact"/>
      </w:pPr>
      <w:r>
        <w:t xml:space="preserve">Restauration et alimentation durable</w:t>
      </w:r>
    </w:p>
    <w:p>
      <w:pPr>
        <w:numPr>
          <w:ilvl w:val="0"/>
          <w:numId w:val="1003"/>
        </w:numPr>
        <w:pStyle w:val="Compact"/>
      </w:pPr>
      <w:r>
        <w:t xml:space="preserve">Infrastructure(s) et réseaux (numérique, eau,chaleur…)</w:t>
      </w:r>
    </w:p>
    <w:p>
      <w:pPr>
        <w:numPr>
          <w:ilvl w:val="0"/>
          <w:numId w:val="1003"/>
        </w:numPr>
        <w:pStyle w:val="Compact"/>
      </w:pPr>
      <w:r>
        <w:t xml:space="preserve">Opération de requalification (friches…)</w:t>
      </w:r>
    </w:p>
    <w:p>
      <w:pPr>
        <w:numPr>
          <w:ilvl w:val="0"/>
          <w:numId w:val="1003"/>
        </w:numPr>
        <w:pStyle w:val="Compact"/>
      </w:pPr>
      <w:r>
        <w:t xml:space="preserve">Connaissance et protection de la biodiversité et milieux naturels</w:t>
      </w:r>
    </w:p>
    <w:p>
      <w:pPr>
        <w:numPr>
          <w:ilvl w:val="0"/>
          <w:numId w:val="1003"/>
        </w:numPr>
        <w:pStyle w:val="Compact"/>
      </w:pPr>
      <w:r>
        <w:t xml:space="preserve">Gestion des risques (inondations…)</w:t>
      </w:r>
    </w:p>
    <w:p>
      <w:pPr>
        <w:numPr>
          <w:ilvl w:val="0"/>
          <w:numId w:val="1003"/>
        </w:numPr>
        <w:pStyle w:val="Compact"/>
      </w:pPr>
      <w:r>
        <w:t xml:space="preserve">Gestion quantitative et qualitative de l’eau</w:t>
      </w:r>
    </w:p>
    <w:p>
      <w:pPr>
        <w:numPr>
          <w:ilvl w:val="0"/>
          <w:numId w:val="1003"/>
        </w:numPr>
        <w:pStyle w:val="Compact"/>
      </w:pPr>
      <w:r>
        <w:t xml:space="preserve">Gestion, valorisation des déchets, réemploi</w:t>
      </w:r>
    </w:p>
    <w:p>
      <w:pPr>
        <w:numPr>
          <w:ilvl w:val="0"/>
          <w:numId w:val="1003"/>
        </w:numPr>
        <w:pStyle w:val="Compact"/>
      </w:pPr>
      <w:r>
        <w:t xml:space="preserve">Mobilités douces</w:t>
      </w:r>
    </w:p>
    <w:p>
      <w:pPr>
        <w:numPr>
          <w:ilvl w:val="0"/>
          <w:numId w:val="1003"/>
        </w:numPr>
        <w:pStyle w:val="Compact"/>
      </w:pPr>
      <w:r>
        <w:t xml:space="preserve">Loisirs</w:t>
      </w:r>
    </w:p>
    <w:p>
      <w:pPr>
        <w:numPr>
          <w:ilvl w:val="0"/>
          <w:numId w:val="1003"/>
        </w:numPr>
        <w:pStyle w:val="Compact"/>
      </w:pPr>
      <w:r>
        <w:t xml:space="preserve">Efficacité énergétique</w:t>
      </w:r>
    </w:p>
    <w:p>
      <w:pPr>
        <w:numPr>
          <w:ilvl w:val="0"/>
          <w:numId w:val="1003"/>
        </w:numPr>
        <w:pStyle w:val="Compact"/>
      </w:pPr>
      <w:r>
        <w:t xml:space="preserve">Production d’énergies renouvelables</w:t>
      </w:r>
    </w:p>
    <w:p>
      <w:pPr>
        <w:numPr>
          <w:ilvl w:val="0"/>
          <w:numId w:val="1003"/>
        </w:numPr>
        <w:pStyle w:val="Compact"/>
      </w:pPr>
      <w:r>
        <w:t xml:space="preserve">Réseaux verts et intelligents</w:t>
      </w:r>
    </w:p>
    <w:p>
      <w:pPr>
        <w:numPr>
          <w:ilvl w:val="0"/>
          <w:numId w:val="1003"/>
        </w:numPr>
        <w:pStyle w:val="Compact"/>
      </w:pPr>
      <w:r>
        <w:t xml:space="preserve">Economie, production et consommation durable</w:t>
      </w:r>
    </w:p>
    <w:p>
      <w:pPr>
        <w:numPr>
          <w:ilvl w:val="0"/>
          <w:numId w:val="1003"/>
        </w:numPr>
        <w:pStyle w:val="Compact"/>
      </w:pPr>
      <w:r>
        <w:t xml:space="preserve">Tourisme durable</w:t>
      </w:r>
    </w:p>
    <w:p>
      <w:pPr>
        <w:numPr>
          <w:ilvl w:val="0"/>
          <w:numId w:val="1003"/>
        </w:numPr>
        <w:pStyle w:val="Compact"/>
      </w:pPr>
      <w:r>
        <w:t xml:space="preserve">Emploi et Insertion</w:t>
      </w:r>
    </w:p>
    <w:p>
      <w:pPr>
        <w:numPr>
          <w:ilvl w:val="0"/>
          <w:numId w:val="1003"/>
        </w:numPr>
        <w:pStyle w:val="Compact"/>
      </w:pPr>
      <w:r>
        <w:t xml:space="preserve">Logistique et Fret</w:t>
      </w:r>
    </w:p>
    <w:p>
      <w:pPr>
        <w:numPr>
          <w:ilvl w:val="0"/>
          <w:numId w:val="1003"/>
        </w:numPr>
        <w:pStyle w:val="Compact"/>
      </w:pPr>
      <w:r>
        <w:t xml:space="preserve">Organisation des déplacements</w:t>
      </w:r>
    </w:p>
    <w:p>
      <w:pPr>
        <w:numPr>
          <w:ilvl w:val="0"/>
          <w:numId w:val="1003"/>
        </w:numPr>
        <w:pStyle w:val="Compact"/>
      </w:pPr>
      <w:r>
        <w:t xml:space="preserve">Sport</w:t>
      </w:r>
    </w:p>
    <w:p>
      <w:pPr>
        <w:numPr>
          <w:ilvl w:val="0"/>
          <w:numId w:val="1003"/>
        </w:numPr>
        <w:pStyle w:val="Compact"/>
      </w:pPr>
      <w:r>
        <w:t xml:space="preserve">Formation professionnelle</w:t>
      </w:r>
    </w:p>
    <w:p>
      <w:pPr>
        <w:numPr>
          <w:ilvl w:val="0"/>
          <w:numId w:val="1003"/>
        </w:numPr>
        <w:pStyle w:val="Compact"/>
      </w:pPr>
      <w:r>
        <w:t xml:space="preserve">Accès à un logement de qualité</w:t>
      </w:r>
    </w:p>
    <w:p>
      <w:pPr>
        <w:pStyle w:val="FirstParagraph"/>
      </w:pPr>
      <w:r>
        <w:t xml:space="preserve">Nombre de fiches action (opération prête à démarrer) : 60</w:t>
      </w:r>
    </w:p>
    <w:p>
      <w:pPr>
        <w:pStyle w:val="TextBody"/>
      </w:pPr>
      <w:r>
        <w:t xml:space="preserve">Nombre de fiches projet (opération à travailler) : 26</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4"/>
        </w:numPr>
        <w:pStyle w:val="Compact"/>
      </w:pPr>
      <w:r>
        <w:t xml:space="preserve">Circuits courts agricoles</w:t>
      </w:r>
    </w:p>
    <w:p>
      <w:pPr>
        <w:numPr>
          <w:ilvl w:val="0"/>
          <w:numId w:val="1004"/>
        </w:numPr>
        <w:pStyle w:val="Compact"/>
      </w:pPr>
      <w:r>
        <w:t xml:space="preserve">Pratique agricole durable, agro-écologie</w:t>
      </w:r>
    </w:p>
    <w:p>
      <w:pPr>
        <w:numPr>
          <w:ilvl w:val="0"/>
          <w:numId w:val="1004"/>
        </w:numPr>
        <w:pStyle w:val="Compact"/>
      </w:pPr>
      <w:r>
        <w:t xml:space="preserve">Restauration et alimentation durable</w:t>
      </w:r>
    </w:p>
    <w:p>
      <w:pPr>
        <w:numPr>
          <w:ilvl w:val="0"/>
          <w:numId w:val="1004"/>
        </w:numPr>
        <w:pStyle w:val="Compact"/>
      </w:pPr>
      <w:r>
        <w:t xml:space="preserve">Extension urbaine maîtrisée</w:t>
      </w:r>
    </w:p>
    <w:p>
      <w:pPr>
        <w:numPr>
          <w:ilvl w:val="0"/>
          <w:numId w:val="1004"/>
        </w:numPr>
        <w:pStyle w:val="Compact"/>
      </w:pPr>
      <w:r>
        <w:t xml:space="preserve">Opération de requalification (friches…)</w:t>
      </w:r>
    </w:p>
    <w:p>
      <w:pPr>
        <w:numPr>
          <w:ilvl w:val="0"/>
          <w:numId w:val="1004"/>
        </w:numPr>
        <w:pStyle w:val="Compact"/>
      </w:pPr>
      <w:r>
        <w:t xml:space="preserve">Gestion des risques (inondations…)</w:t>
      </w:r>
    </w:p>
    <w:p>
      <w:pPr>
        <w:numPr>
          <w:ilvl w:val="0"/>
          <w:numId w:val="1004"/>
        </w:numPr>
        <w:pStyle w:val="Compact"/>
      </w:pPr>
      <w:r>
        <w:t xml:space="preserve">Gestion quantitative et qualitative de l’eau</w:t>
      </w:r>
    </w:p>
    <w:p>
      <w:pPr>
        <w:numPr>
          <w:ilvl w:val="0"/>
          <w:numId w:val="1004"/>
        </w:numPr>
        <w:pStyle w:val="Compact"/>
      </w:pPr>
      <w:r>
        <w:t xml:space="preserve">Emploi et Insertion</w:t>
      </w:r>
    </w:p>
    <w:p>
      <w:pPr>
        <w:numPr>
          <w:ilvl w:val="0"/>
          <w:numId w:val="1004"/>
        </w:numPr>
        <w:pStyle w:val="Compact"/>
      </w:pPr>
      <w:r>
        <w:t xml:space="preserve">Tourisme durable</w:t>
      </w:r>
    </w:p>
    <w:p>
      <w:pPr>
        <w:numPr>
          <w:ilvl w:val="0"/>
          <w:numId w:val="1004"/>
        </w:numPr>
        <w:pStyle w:val="Compact"/>
      </w:pPr>
      <w:r>
        <w:t xml:space="preserve">Logistique et Fret</w:t>
      </w:r>
    </w:p>
    <w:p>
      <w:pPr>
        <w:numPr>
          <w:ilvl w:val="0"/>
          <w:numId w:val="1004"/>
        </w:numPr>
        <w:pStyle w:val="Compact"/>
      </w:pPr>
      <w:r>
        <w:t xml:space="preserve">Mobilités douces</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Oui</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5.56M€</w:t>
      </w:r>
    </w:p>
    <w:p>
      <w:pPr>
        <w:pStyle w:val="TextBody"/>
      </w:pPr>
      <w:r>
        <w:t xml:space="preserve">Montant total en euros des engagements financiers des collectivités locales et leurs établissements publics : 6.54M€</w:t>
      </w:r>
    </w:p>
    <w:p>
      <w:pPr>
        <w:pStyle w:val="TextBody"/>
      </w:pPr>
      <w:r>
        <w:t xml:space="preserve">Montant total en euros des engagements financiers de l’Etat et de ses opérateurs Plan de relance : 245 533€</w:t>
      </w:r>
    </w:p>
    <w:p>
      <w:pPr>
        <w:pStyle w:val="TextBody"/>
      </w:pPr>
      <w:r>
        <w:t xml:space="preserve">Montant total en euros des engagements financiers de l’Etat et de ses opérateurs hors plan de relance : 546 971€</w:t>
      </w:r>
    </w:p>
    <w:p>
      <w:pPr>
        <w:pStyle w:val="TextBody"/>
      </w:pPr>
      <w:r>
        <w:t xml:space="preserve">Montant total prévisionnel en euros des cofinancements européens : -0,1€</w:t>
      </w:r>
    </w:p>
    <w:p>
      <w:pPr>
        <w:pStyle w:val="TextBody"/>
      </w:pPr>
      <w:r>
        <w:t xml:space="preserve">Montant total prévisionnel en euros des cofinancements privés : 372 000€</w:t>
      </w:r>
    </w:p>
    <w:p>
      <w:pPr>
        <w:pStyle w:val="TextBody"/>
      </w:pPr>
      <w:r>
        <w:t xml:space="preserve">Montant en euros des engagements financiers de la Banque des territoires : -0,1€</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2022-05-06T15:23:16Z</dcterms:created>
  <dcterms:modified xsi:type="dcterms:W3CDTF">2022-05-06T15:23:16Z</dcterms:modified>
</cp:coreProperties>
</file>

<file path=docProps/custom.xml><?xml version="1.0" encoding="utf-8"?>
<Properties xmlns="http://schemas.openxmlformats.org/officeDocument/2006/custom-properties" xmlns:vt="http://schemas.openxmlformats.org/officeDocument/2006/docPropsVTypes"/>
</file>