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pascale.single@ca-baiedesomme.fr</w:t>
      </w:r>
    </w:p>
    <w:p>
      <w:pPr>
        <w:pStyle w:val="TextBody"/>
      </w:pPr>
      <w:r>
        <w:t xml:space="preserve">Date de signature du CRTE : 02 septembre 2021</w:t>
      </w:r>
    </w:p>
    <w:p>
      <w:pPr>
        <w:pStyle w:val="TextBody"/>
      </w:pPr>
      <w:r>
        <w:t xml:space="preserve">Nature juridique de la structure porteuse : Communauté d’Agglomération</w:t>
      </w:r>
    </w:p>
    <w:p>
      <w:pPr>
        <w:pStyle w:val="TextBody"/>
      </w:pPr>
      <w:r>
        <w:t xml:space="preserve">Nom de la structure porteuse : Communauté d’Agglomération Baie de Somme (CABS)</w:t>
      </w:r>
    </w:p>
    <w:p>
      <w:pPr>
        <w:pStyle w:val="TextBody"/>
      </w:pPr>
      <w:r>
        <w:t xml:space="preserve">Si protocole de préfiguration : date de signature : 08 juillet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de la Baie de Somme, nature: CA, SIREN: 200070993</w:t>
      </w:r>
    </w:p>
    <w:p>
      <w:pPr>
        <w:numPr>
          <w:ilvl w:val="0"/>
          <w:numId w:val="1001"/>
        </w:numPr>
        <w:pStyle w:val="Compact"/>
      </w:pPr>
      <w:r>
        <w:t xml:space="preserve">Nom: Commes, nature: commune, SIREN: 14172</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Convention ANRU</w:t>
      </w:r>
    </w:p>
    <w:p>
      <w:pPr>
        <w:numPr>
          <w:ilvl w:val="0"/>
          <w:numId w:val="1003"/>
        </w:numPr>
        <w:pStyle w:val="Compact"/>
      </w:pPr>
      <w:r>
        <w:t xml:space="preserve">Contrat de ville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pStyle w:val="FirstParagraph"/>
      </w:pPr>
      <w:r>
        <w:t xml:space="preserve">Liste des orientations stratégiques, axes, ambitions, volets, objectifs… : I- Attractivité et diversification économique, 1.1 Pour une amélioration du parc de logements, 1.2 Vers une agriculture équilibrée et orientée vers la transition écologique, 1.3vers un territoire 100% numérique, 1.4, vers le plei emploi à l’échelle du territoire II-Qualité urbaine, paysagère et écologique 2.1 Vers un développement urbain raisonné, 2.2 Vers des pratiques agricoles respectueuses de l’environnement et valorisant le paysage, 2.3 Vers une préservation de l’environnement et de la biodiversité, 2.4 Vers la maîtrise qualitative et quantitative de la ressource en eau 2.5Vers une accentuation de la maitrise des risques naturels et artificiels face aux changements climatiques à venir, 2.6 Vers une gestion durable des déchets III Performance et autonomie énergétique 3.1 Pour une lutte contre la précarité énergétique, 3.2 Vers une amélioration de la performance énergétique et le développement des énergies renouvelables, 3.3 Vrs une réduction de la poluution lumineuse, IV Cohésion sociale et territoriale 4.1 Vers une accentuation de la dynamique en matière de mobilité durable, 4.2 Pour la promotion d’une ville durable et inclusive</w:t>
      </w:r>
    </w:p>
    <w:p>
      <w:pPr>
        <w:pStyle w:val="TextBody"/>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Extension urbaine maîtrisée</w:t>
      </w:r>
    </w:p>
    <w:p>
      <w:pPr>
        <w:numPr>
          <w:ilvl w:val="0"/>
          <w:numId w:val="1005"/>
        </w:numPr>
        <w:pStyle w:val="Compact"/>
      </w:pPr>
      <w:r>
        <w:t xml:space="preserve">Infrastructure(s) et réseaux (numérique, eau,chaleur…)</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des risques (inondations…)</w:t>
      </w:r>
    </w:p>
    <w:p>
      <w:pPr>
        <w:numPr>
          <w:ilvl w:val="0"/>
          <w:numId w:val="1005"/>
        </w:numPr>
        <w:pStyle w:val="Compact"/>
      </w:pPr>
      <w:r>
        <w:t xml:space="preserve">Gestion quantitative et qualitative de l’eau</w:t>
      </w:r>
    </w:p>
    <w:p>
      <w:pPr>
        <w:numPr>
          <w:ilvl w:val="0"/>
          <w:numId w:val="1005"/>
        </w:numPr>
        <w:pStyle w:val="Compact"/>
      </w:pPr>
      <w:r>
        <w:t xml:space="preserve">Gestion, valorisation des déchets, réemploi</w:t>
      </w:r>
    </w:p>
    <w:p>
      <w:pPr>
        <w:numPr>
          <w:ilvl w:val="0"/>
          <w:numId w:val="1005"/>
        </w:numPr>
        <w:pStyle w:val="Compact"/>
      </w:pPr>
      <w:r>
        <w:t xml:space="preserve">Sensibilisation et animation de la transition</w:t>
      </w:r>
    </w:p>
    <w:p>
      <w:pPr>
        <w:numPr>
          <w:ilvl w:val="0"/>
          <w:numId w:val="1005"/>
        </w:numPr>
        <w:pStyle w:val="Compact"/>
      </w:pPr>
      <w:r>
        <w:t xml:space="preserve">Economie sociale et solidaire</w:t>
      </w:r>
    </w:p>
    <w:p>
      <w:pPr>
        <w:numPr>
          <w:ilvl w:val="0"/>
          <w:numId w:val="1005"/>
        </w:numPr>
        <w:pStyle w:val="Compact"/>
      </w:pPr>
      <w:r>
        <w:t xml:space="preserve">Economie, production et consommation durable</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Transports en commun</w:t>
      </w:r>
    </w:p>
    <w:p>
      <w:pPr>
        <w:numPr>
          <w:ilvl w:val="0"/>
          <w:numId w:val="1005"/>
        </w:numPr>
        <w:pStyle w:val="Compact"/>
      </w:pPr>
      <w:r>
        <w:t xml:space="preserve">Mobilités douces</w:t>
      </w:r>
    </w:p>
    <w:p>
      <w:pPr>
        <w:numPr>
          <w:ilvl w:val="0"/>
          <w:numId w:val="1005"/>
        </w:numPr>
        <w:pStyle w:val="Compact"/>
      </w:pPr>
      <w:r>
        <w:t xml:space="preserve">Opération de requalification (friches…)</w:t>
      </w:r>
    </w:p>
    <w:p>
      <w:pPr>
        <w:numPr>
          <w:ilvl w:val="0"/>
          <w:numId w:val="1005"/>
        </w:numPr>
        <w:pStyle w:val="Compact"/>
      </w:pPr>
      <w:r>
        <w:t xml:space="preserve">Accès à un logement de qualité</w:t>
      </w:r>
    </w:p>
    <w:p>
      <w:pPr>
        <w:numPr>
          <w:ilvl w:val="0"/>
          <w:numId w:val="1005"/>
        </w:numPr>
        <w:pStyle w:val="Compact"/>
      </w:pPr>
      <w:r>
        <w:t xml:space="preserve">Usages et inclusion numériques</w:t>
      </w:r>
    </w:p>
    <w:p>
      <w:pPr>
        <w:numPr>
          <w:ilvl w:val="0"/>
          <w:numId w:val="1005"/>
        </w:numPr>
        <w:pStyle w:val="Compact"/>
      </w:pPr>
      <w:r>
        <w:t xml:space="preserve">Restauration et alimentation durable</w:t>
      </w:r>
    </w:p>
    <w:p>
      <w:pPr>
        <w:numPr>
          <w:ilvl w:val="0"/>
          <w:numId w:val="1005"/>
        </w:numPr>
        <w:pStyle w:val="Compact"/>
      </w:pPr>
      <w:r>
        <w:t xml:space="preserve">Culture et patrimoine</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ADEME, CEREMA, ANAH, ANRU, et Caisse des Dépôts</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numPr>
          <w:ilvl w:val="0"/>
          <w:numId w:val="1006"/>
        </w:numPr>
        <w:pStyle w:val="Compact"/>
      </w:pPr>
      <w:r>
        <w:t xml:space="preserve">Gestion, valorisation des déchets, réemploi</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Oui</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NON</w:t>
      </w:r>
    </w:p>
    <w:p>
      <w:pPr>
        <w:pStyle w:val="TextBody"/>
      </w:pPr>
      <w:r>
        <w:t xml:space="preserve">Mobilisation d’une ingénierie externe : CEREMA</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0,1€</w:t>
      </w:r>
    </w:p>
    <w:p>
      <w:pPr>
        <w:pStyle w:val="TextBody"/>
      </w:pPr>
      <w:r>
        <w:t xml:space="preserve">Montant total prévisionnel en euros des actions en dépenses d’investissement : 1.75M€</w:t>
      </w:r>
    </w:p>
    <w:p>
      <w:pPr>
        <w:pStyle w:val="TextBody"/>
      </w:pPr>
      <w:r>
        <w:t xml:space="preserve">Montant total en euros des engagements financiers des collectivités locales et leurs établissements publics : 1.75M€</w:t>
      </w:r>
    </w:p>
    <w:p>
      <w:pPr>
        <w:pStyle w:val="TextBody"/>
      </w:pPr>
      <w:r>
        <w:t xml:space="preserve">Montant total en euros des engagements financiers de l’Etat et de ses opérateurs Plan de relance : 139 000€</w:t>
      </w:r>
    </w:p>
    <w:p>
      <w:pPr>
        <w:pStyle w:val="TextBody"/>
      </w:pPr>
      <w:r>
        <w:t xml:space="preserve">Montant total en euros des engagements financiers de l’Etat et de ses opérateurs hors plan de relance : 677 946€</w:t>
      </w:r>
    </w:p>
    <w:p>
      <w:pPr>
        <w:pStyle w:val="TextBody"/>
      </w:pPr>
      <w:r>
        <w:t xml:space="preserve">Montant total prévisionnel en euros des cofinancements européens : 0€</w:t>
      </w:r>
    </w:p>
    <w:p>
      <w:pPr>
        <w:pStyle w:val="TextBody"/>
      </w:pPr>
      <w:r>
        <w:t xml:space="preserve">Montant total prévisionnel en euros des cofinancements privés : 0,1€</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2022-05-06T15:23:16Z</dcterms:created>
  <dcterms:modified xsi:type="dcterms:W3CDTF">2022-05-06T15:23:16Z</dcterms:modified>
</cp:coreProperties>
</file>

<file path=docProps/custom.xml><?xml version="1.0" encoding="utf-8"?>
<Properties xmlns="http://schemas.openxmlformats.org/officeDocument/2006/custom-properties" xmlns:vt="http://schemas.openxmlformats.org/officeDocument/2006/docPropsVTypes"/>
</file>