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dominique.lievre@deux-sevres.gouv.fr</w:t>
      </w:r>
    </w:p>
    <w:p>
      <w:pPr>
        <w:pStyle w:val="TextBody"/>
      </w:pPr>
      <w:r>
        <w:t xml:space="preserve">Date de signature du CRTE : 31 août 2021</w:t>
      </w:r>
    </w:p>
    <w:p>
      <w:pPr>
        <w:pStyle w:val="TextBody"/>
      </w:pPr>
      <w:r>
        <w:t xml:space="preserve">Nature juridique de la structure porteuse : Communauté de communes</w:t>
      </w:r>
    </w:p>
    <w:p>
      <w:pPr>
        <w:pStyle w:val="TextBody"/>
      </w:pPr>
      <w:r>
        <w:t xml:space="preserve">Nom de la structure porteuse : Communauté de communes Haut Val de Sèvre</w:t>
      </w:r>
    </w:p>
    <w:p>
      <w:pPr>
        <w:pStyle w:val="TextBody"/>
      </w:pPr>
      <w:r>
        <w:t xml:space="preserve">Si protocole de préfiguration : date de signature : 06 avril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Préfet des Deux-Sèvres</w:t>
      </w:r>
    </w:p>
    <w:p>
      <w:pPr>
        <w:numPr>
          <w:ilvl w:val="0"/>
          <w:numId w:val="1001"/>
        </w:numPr>
        <w:pStyle w:val="Compact"/>
      </w:pPr>
      <w:r>
        <w:t xml:space="preserve">Nom: CC Haut Val de Sèvre, nature: CC, SIREN: 200041994</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Dispositif OCM (Ex FISAC)</w:t>
      </w:r>
    </w:p>
    <w:p>
      <w:pPr>
        <w:numPr>
          <w:ilvl w:val="0"/>
          <w:numId w:val="1002"/>
        </w:numPr>
        <w:pStyle w:val="Compact"/>
      </w:pPr>
      <w:r>
        <w:t xml:space="preserve">Contrat d’attractivité Niortais-HVS 2019-2021</w:t>
      </w:r>
    </w:p>
    <w:p>
      <w:pPr>
        <w:numPr>
          <w:ilvl w:val="0"/>
          <w:numId w:val="1002"/>
        </w:numPr>
        <w:pStyle w:val="Compact"/>
      </w:pPr>
      <w:r>
        <w:t xml:space="preserve">AMI centre bourgs 2014</w:t>
      </w:r>
    </w:p>
    <w:p>
      <w:pPr>
        <w:numPr>
          <w:ilvl w:val="0"/>
          <w:numId w:val="1002"/>
        </w:numPr>
        <w:pStyle w:val="Compact"/>
      </w:pPr>
      <w:r>
        <w:t xml:space="preserve">4 conventions avec l’EPF Nouvelle-Aquitaine</w:t>
      </w:r>
    </w:p>
    <w:p>
      <w:pPr>
        <w:numPr>
          <w:ilvl w:val="0"/>
          <w:numId w:val="1002"/>
        </w:numPr>
        <w:pStyle w:val="Compact"/>
      </w:pPr>
      <w:r>
        <w:t xml:space="preserve">Dispositif d’aide aux accueils de loisirs</w:t>
      </w:r>
    </w:p>
    <w:p>
      <w:pPr>
        <w:numPr>
          <w:ilvl w:val="0"/>
          <w:numId w:val="1002"/>
        </w:numPr>
        <w:pStyle w:val="Compact"/>
      </w:pPr>
      <w:r>
        <w:t xml:space="preserve">Plan campagnes d’été 2020</w:t>
      </w:r>
    </w:p>
    <w:p>
      <w:pPr>
        <w:numPr>
          <w:ilvl w:val="0"/>
          <w:numId w:val="1002"/>
        </w:numPr>
        <w:pStyle w:val="Compact"/>
      </w:pPr>
      <w:r>
        <w:t xml:space="preserve">plusieurs contrats territoriaux pour la protection des milieux aquatiques sont recensés et accompagnés par l’agence de l’eau Loire Bretagne : Sèvre Niortaise amont, du Lambon à l’Egray (2022-2024), Sèvre Niortaise et Mignon (2019-2021)</w:t>
      </w:r>
    </w:p>
    <w:p>
      <w:pPr>
        <w:numPr>
          <w:ilvl w:val="0"/>
          <w:numId w:val="1002"/>
        </w:numPr>
        <w:pStyle w:val="Compact"/>
      </w:pPr>
      <w:r>
        <w:t xml:space="preserve">un contrat territorial des aires d’alimentation de captage du bassin amont de la Sèvre Niortaise et Corbelière est également en cours jusqu’en 2022.</w:t>
      </w:r>
    </w:p>
    <w:p>
      <w:pPr>
        <w:numPr>
          <w:ilvl w:val="0"/>
          <w:numId w:val="1002"/>
        </w:numPr>
        <w:pStyle w:val="Compact"/>
      </w:pPr>
      <w:r>
        <w:t xml:space="preserve">contrat territorial du Clain sud (2021-2023)</w:t>
      </w:r>
    </w:p>
    <w:p>
      <w:pPr>
        <w:numPr>
          <w:ilvl w:val="0"/>
          <w:numId w:val="1002"/>
        </w:numPr>
        <w:pStyle w:val="Compact"/>
      </w:pPr>
      <w:r>
        <w:t xml:space="preserve">programme local de prévention de production des déchets ménagers et assimilés</w:t>
      </w:r>
    </w:p>
    <w:p>
      <w:pPr>
        <w:numPr>
          <w:ilvl w:val="0"/>
          <w:numId w:val="1002"/>
        </w:numPr>
        <w:pStyle w:val="Compact"/>
      </w:pPr>
      <w:r>
        <w:t xml:space="preserve">lauréate, en 2019, d’un appel à manifestation d’intérêt dédié aux territoires peu denses et ruraux (AMI TENMOD) en vue d’expérimenter un service de navettes entre les gares, les zones d’emploi et les zones d’habitation (projet Altern’Actifs)</w:t>
      </w:r>
    </w:p>
    <w:p>
      <w:pPr>
        <w:numPr>
          <w:ilvl w:val="0"/>
          <w:numId w:val="1002"/>
        </w:numPr>
        <w:pStyle w:val="Compact"/>
      </w:pPr>
      <w:r>
        <w:t xml:space="preserve">Projet alimentaire territorial</w:t>
      </w:r>
    </w:p>
    <w:p>
      <w:pPr>
        <w:numPr>
          <w:ilvl w:val="0"/>
          <w:numId w:val="1002"/>
        </w:numPr>
        <w:pStyle w:val="Compact"/>
      </w:pPr>
      <w:r>
        <w:t xml:space="preserve">Projet social de territoire</w:t>
      </w:r>
    </w:p>
    <w:p>
      <w:pPr>
        <w:pStyle w:val="FirstParagraph"/>
      </w:pPr>
      <w:r>
        <w:t xml:space="preserve">Liste des contrats figurant dans le CRTE :</w:t>
      </w:r>
    </w:p>
    <w:p>
      <w:pPr>
        <w:numPr>
          <w:ilvl w:val="0"/>
          <w:numId w:val="1003"/>
        </w:numPr>
        <w:pStyle w:val="Compact"/>
      </w:pPr>
      <w:r>
        <w:t xml:space="preserve">Opération collective de modernisation</w:t>
      </w:r>
    </w:p>
    <w:p>
      <w:pPr>
        <w:numPr>
          <w:ilvl w:val="0"/>
          <w:numId w:val="1003"/>
        </w:numPr>
        <w:pStyle w:val="Compact"/>
      </w:pPr>
      <w:r>
        <w:t xml:space="preserve">Contrat d’attractivité</w:t>
      </w:r>
    </w:p>
    <w:p>
      <w:pPr>
        <w:numPr>
          <w:ilvl w:val="0"/>
          <w:numId w:val="1003"/>
        </w:numPr>
        <w:pStyle w:val="Compact"/>
      </w:pPr>
      <w:r>
        <w:t xml:space="preserve">Contrat local de Santé</w:t>
      </w:r>
    </w:p>
    <w:p>
      <w:pPr>
        <w:numPr>
          <w:ilvl w:val="0"/>
          <w:numId w:val="1003"/>
        </w:numPr>
        <w:pStyle w:val="Compact"/>
      </w:pPr>
      <w:r>
        <w:t xml:space="preserve">Contrat territorial d’éducation artistique et culturelle (CTEAC)</w:t>
      </w:r>
    </w:p>
    <w:p>
      <w:pPr>
        <w:numPr>
          <w:ilvl w:val="0"/>
          <w:numId w:val="1003"/>
        </w:numPr>
        <w:pStyle w:val="Compact"/>
      </w:pPr>
      <w:r>
        <w:t xml:space="preserve">Convention globale CAF</w:t>
      </w:r>
    </w:p>
    <w:p>
      <w:pPr>
        <w:numPr>
          <w:ilvl w:val="0"/>
          <w:numId w:val="1003"/>
        </w:numPr>
        <w:pStyle w:val="Compact"/>
      </w:pPr>
      <w:r>
        <w:t xml:space="preserve">Contrat de ruralité</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Pr>
      <w:r>
        <w:t xml:space="preserve">Orientation 1 : Encourager des mobilités durables</w:t>
      </w:r>
    </w:p>
    <w:p>
      <w:pPr>
        <w:numPr>
          <w:ilvl w:val="0"/>
          <w:numId w:val="1005"/>
        </w:numPr>
      </w:pPr>
      <w:r>
        <w:t xml:space="preserve">◦ Élaboration d’un schéma cyclable</w:t>
      </w:r>
    </w:p>
    <w:p>
      <w:pPr>
        <w:numPr>
          <w:ilvl w:val="0"/>
          <w:numId w:val="1005"/>
        </w:numPr>
      </w:pPr>
      <w:r>
        <w:t xml:space="preserve">◦ Création de liaisons douces</w:t>
      </w:r>
    </w:p>
    <w:p>
      <w:pPr>
        <w:numPr>
          <w:ilvl w:val="0"/>
          <w:numId w:val="1005"/>
        </w:numPr>
      </w:pPr>
      <w:r>
        <w:t xml:space="preserve">◦ Mise en place d’un service de location de vélo à assistance électrique</w:t>
      </w:r>
    </w:p>
    <w:p>
      <w:pPr>
        <w:numPr>
          <w:ilvl w:val="0"/>
          <w:numId w:val="1005"/>
        </w:numPr>
      </w:pPr>
      <w:r>
        <w:t xml:space="preserve">◦ Mise en place de navettes des gares vers les zones d’activité</w:t>
      </w:r>
    </w:p>
    <w:p>
      <w:pPr>
        <w:numPr>
          <w:ilvl w:val="0"/>
          <w:numId w:val="1005"/>
        </w:numPr>
      </w:pPr>
      <w:r>
        <w:t xml:space="preserve">Orientation 2 : Engager l’intercommunalité et les communes dans une transition énergétique et écologique</w:t>
      </w:r>
    </w:p>
    <w:p>
      <w:pPr>
        <w:numPr>
          <w:ilvl w:val="0"/>
          <w:numId w:val="1005"/>
        </w:numPr>
      </w:pPr>
      <w:r>
        <w:t xml:space="preserve">◦ Changement de l’éclairage public</w:t>
      </w:r>
    </w:p>
    <w:p>
      <w:pPr>
        <w:numPr>
          <w:ilvl w:val="0"/>
          <w:numId w:val="1005"/>
        </w:numPr>
      </w:pPr>
      <w:r>
        <w:t xml:space="preserve">◦ Rénovation énergétique des bâtiments</w:t>
      </w:r>
    </w:p>
    <w:p>
      <w:pPr>
        <w:numPr>
          <w:ilvl w:val="0"/>
          <w:numId w:val="1005"/>
        </w:numPr>
      </w:pPr>
      <w:r>
        <w:t xml:space="preserve">◦ Installation de panneaux photovoltaïques sur les stations d’assainissement</w:t>
      </w:r>
    </w:p>
    <w:p>
      <w:pPr>
        <w:numPr>
          <w:ilvl w:val="0"/>
          <w:numId w:val="1005"/>
        </w:numPr>
      </w:pPr>
      <w:r>
        <w:t xml:space="preserve">◦ Dispositif AMEC : formation élu-technicien pour la maîtrise de l’énergie des collectivités</w:t>
      </w:r>
    </w:p>
    <w:p>
      <w:pPr>
        <w:numPr>
          <w:ilvl w:val="0"/>
          <w:numId w:val="1005"/>
        </w:numPr>
      </w:pPr>
      <w:r>
        <w:t xml:space="preserve">Orientation 3 : Adapter le territoire aux effets du changement climatique</w:t>
      </w:r>
    </w:p>
    <w:p>
      <w:pPr>
        <w:numPr>
          <w:ilvl w:val="0"/>
          <w:numId w:val="1005"/>
        </w:numPr>
      </w:pPr>
      <w:r>
        <w:t xml:space="preserve">◦ Création d’un espace -test agricole</w:t>
      </w:r>
    </w:p>
    <w:p>
      <w:pPr>
        <w:numPr>
          <w:ilvl w:val="0"/>
          <w:numId w:val="1005"/>
        </w:numPr>
      </w:pPr>
      <w:r>
        <w:t xml:space="preserve">◦ Projet environnemental dédié à la bio-diversité</w:t>
      </w:r>
    </w:p>
    <w:p>
      <w:pPr>
        <w:numPr>
          <w:ilvl w:val="0"/>
          <w:numId w:val="1005"/>
        </w:numPr>
      </w:pPr>
      <w:r>
        <w:t xml:space="preserve">◦ Végétalisation des espaces urbains</w:t>
      </w:r>
    </w:p>
    <w:p>
      <w:pPr>
        <w:numPr>
          <w:ilvl w:val="0"/>
          <w:numId w:val="1005"/>
        </w:numPr>
      </w:pPr>
      <w:r>
        <w:t xml:space="preserve">◦ Etude sur les eaux pluviales sur les zones d’activité de La Crèche</w:t>
      </w:r>
    </w:p>
    <w:p>
      <w:pPr>
        <w:numPr>
          <w:ilvl w:val="0"/>
          <w:numId w:val="1005"/>
        </w:numPr>
      </w:pPr>
      <w:r>
        <w:t xml:space="preserve">◦ Réhabilitation des réseaux d’assainissement</w:t>
      </w:r>
    </w:p>
    <w:p>
      <w:pPr>
        <w:numPr>
          <w:ilvl w:val="0"/>
          <w:numId w:val="1005"/>
        </w:numPr>
      </w:pPr>
      <w:r>
        <w:t xml:space="preserve">◦ Optimisation de l’usine de production d’eau potable</w:t>
      </w:r>
    </w:p>
    <w:p>
      <w:pPr>
        <w:numPr>
          <w:ilvl w:val="0"/>
          <w:numId w:val="1005"/>
        </w:numPr>
      </w:pPr>
      <w:r>
        <w:t xml:space="preserve">Orientation 4 : Lutter contre les fractures sociales et conforter les services de proximité</w:t>
      </w:r>
    </w:p>
    <w:p>
      <w:pPr>
        <w:numPr>
          <w:ilvl w:val="0"/>
          <w:numId w:val="1005"/>
        </w:numPr>
      </w:pPr>
      <w:r>
        <w:t xml:space="preserve">◦ Création d’une maison de santé</w:t>
      </w:r>
    </w:p>
    <w:p>
      <w:pPr>
        <w:numPr>
          <w:ilvl w:val="0"/>
          <w:numId w:val="1005"/>
        </w:numPr>
      </w:pPr>
      <w:r>
        <w:t xml:space="preserve">◦ Lutte contre la précarité énergétique et le mal logement</w:t>
      </w:r>
    </w:p>
    <w:p>
      <w:pPr>
        <w:numPr>
          <w:ilvl w:val="0"/>
          <w:numId w:val="1005"/>
        </w:numPr>
      </w:pPr>
      <w:r>
        <w:t xml:space="preserve">◦ Epicerie sociale et solidaire itinérante</w:t>
      </w:r>
    </w:p>
    <w:p>
      <w:pPr>
        <w:numPr>
          <w:ilvl w:val="0"/>
          <w:numId w:val="1005"/>
        </w:numPr>
      </w:pPr>
      <w:r>
        <w:t xml:space="preserve">◦ Etude sur la rénovation de l’Ehpad de Pamproux</w:t>
      </w:r>
    </w:p>
    <w:p>
      <w:pPr>
        <w:numPr>
          <w:ilvl w:val="0"/>
          <w:numId w:val="1005"/>
        </w:numPr>
      </w:pPr>
      <w:r>
        <w:t xml:space="preserve">◦ Réhabilitation de la base de loisirs du plan d’eau</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Espaces publics, espaces verts</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Economie sociale et solidaire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Loisirs</w:t>
      </w:r>
    </w:p>
    <w:p>
      <w:pPr>
        <w:numPr>
          <w:ilvl w:val="0"/>
          <w:numId w:val="1006"/>
        </w:numPr>
        <w:pStyle w:val="Compact"/>
      </w:pPr>
      <w:r>
        <w:t xml:space="preserve">Santé et soins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28</w:t>
      </w:r>
    </w:p>
    <w:p>
      <w:pPr>
        <w:pStyle w:val="TextBody"/>
      </w:pPr>
      <w:r>
        <w:t xml:space="preserve">Nombre de fiches projet (opération à travailler) : 60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services de l’Etat</w:t>
      </w:r>
    </w:p>
    <w:p>
      <w:pPr>
        <w:numPr>
          <w:ilvl w:val="0"/>
          <w:numId w:val="1007"/>
        </w:numPr>
        <w:pStyle w:val="Compact"/>
      </w:pPr>
      <w:r>
        <w:t xml:space="preserve">DDT</w:t>
      </w:r>
    </w:p>
    <w:p>
      <w:pPr>
        <w:numPr>
          <w:ilvl w:val="0"/>
          <w:numId w:val="1007"/>
        </w:numPr>
        <w:pStyle w:val="Compact"/>
      </w:pPr>
      <w:r>
        <w:t xml:space="preserve">DDASEN</w:t>
      </w:r>
    </w:p>
    <w:p>
      <w:pPr>
        <w:numPr>
          <w:ilvl w:val="0"/>
          <w:numId w:val="1007"/>
        </w:numPr>
        <w:pStyle w:val="Compact"/>
      </w:pPr>
      <w:r>
        <w:t xml:space="preserve">UDAP</w:t>
      </w:r>
    </w:p>
    <w:p>
      <w:pPr>
        <w:numPr>
          <w:ilvl w:val="0"/>
          <w:numId w:val="1007"/>
        </w:numPr>
        <w:pStyle w:val="Compact"/>
      </w:pPr>
      <w:r>
        <w:t xml:space="preserve">ARS</w:t>
      </w:r>
    </w:p>
    <w:p>
      <w:pPr>
        <w:numPr>
          <w:ilvl w:val="0"/>
          <w:numId w:val="1007"/>
        </w:numPr>
        <w:pStyle w:val="Compact"/>
      </w:pPr>
      <w:r>
        <w:t xml:space="preserve">Agence de l’eau</w:t>
      </w:r>
    </w:p>
    <w:p>
      <w:pPr>
        <w:numPr>
          <w:ilvl w:val="0"/>
          <w:numId w:val="1007"/>
        </w:numPr>
        <w:pStyle w:val="Compact"/>
      </w:pPr>
      <w:r>
        <w:t xml:space="preserve">ADEME</w:t>
      </w:r>
    </w:p>
    <w:p>
      <w:pPr>
        <w:numPr>
          <w:ilvl w:val="0"/>
          <w:numId w:val="1007"/>
        </w:numPr>
        <w:pStyle w:val="Compact"/>
      </w:pPr>
      <w:r>
        <w:t xml:space="preserve">Caisse des Dépôts</w:t>
      </w:r>
    </w:p>
    <w:p>
      <w:pPr>
        <w:numPr>
          <w:ilvl w:val="0"/>
          <w:numId w:val="1007"/>
        </w:numPr>
        <w:pStyle w:val="Compact"/>
      </w:pPr>
      <w:r>
        <w:t xml:space="preserve">Banque des Territoires</w:t>
      </w:r>
    </w:p>
    <w:p>
      <w:pPr>
        <w:numPr>
          <w:ilvl w:val="0"/>
          <w:numId w:val="1007"/>
        </w:numPr>
        <w:pStyle w:val="Compact"/>
      </w:pPr>
      <w:r>
        <w:t xml:space="preserve">Nom: CC Haut Val de Sèvre, nature: CC, SIREN: 200041994</w:t>
      </w:r>
    </w:p>
    <w:p>
      <w:pPr>
        <w:pStyle w:val="FirstParagraph"/>
      </w:pPr>
      <w:r>
        <w:t xml:space="preserve">Liste des instances de partenariat mobilisées ou créées : comité stratégique du plan de relance et comité local de cohésion des territoires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partenariat avec la Communauté d’Agglomération du Niortais sur de nombreux dossiers, Etat, Nouvel Aquitaine, Deux-Sèvres, Chambres consulaires, EPF, SAFER, Associations du réseau INPACT, Syndicats du territoire, Comité de bassin d’emploi, Pôle Emploi, Mission Locale, Association des commerçants, CAF, CRER, MSA, CPIE, CREPAQ, Ligue de l’Enseignement, Prom’haies, et ANDES</w:t>
      </w:r>
    </w:p>
    <w:p>
      <w:pPr>
        <w:pStyle w:val="TextBody"/>
      </w:pPr>
      <w:r>
        <w:t xml:space="preserve">Démarches de co-construction du CRTE :</w:t>
      </w:r>
    </w:p>
    <w:p>
      <w:pPr>
        <w:pStyle w:val="TextBody"/>
      </w:pPr>
      <w:r>
        <w:t xml:space="preserve">Existence d’un volet de coopération interterritoriale (dont volet transfrontalier) : NC</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 Comités locaux de cohésion territoriale</w:t>
      </w:r>
    </w:p>
    <w:p>
      <w:pPr>
        <w:pStyle w:val="TextBody"/>
      </w:pPr>
      <w:r>
        <w:t xml:space="preserve">Mobilisation d’une ingénierie externe : Bureau étude subvention ANCT</w:t>
      </w:r>
    </w:p>
    <w:p>
      <w:pPr>
        <w:pStyle w:val="TextBody"/>
      </w:pPr>
      <w:r>
        <w:t xml:space="preserve">Existence d’une maquette financière annexée (ou d’un état récapitulatif des différents financements) au jour de la signature du contrat : NC</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2022-05-06T15:23:15Z</dcterms:created>
  <dcterms:modified xsi:type="dcterms:W3CDTF">2022-05-06T15:23:15Z</dcterms:modified>
</cp:coreProperties>
</file>

<file path=docProps/custom.xml><?xml version="1.0" encoding="utf-8"?>
<Properties xmlns="http://schemas.openxmlformats.org/officeDocument/2006/custom-properties" xmlns:vt="http://schemas.openxmlformats.org/officeDocument/2006/docPropsVTypes"/>
</file>