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TextBody"/>
      </w:pPr>
      <w:r>
        <w:t xml:space="preserve">Date de signature du CRTE : 03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Gâtinais-Val-de-Loing</w:t>
      </w:r>
    </w:p>
    <w:p>
      <w:pPr>
        <w:pStyle w:val="TextBody"/>
      </w:pPr>
      <w:r>
        <w:t xml:space="preserve">Si protocole de préfiguration : date de signature : 13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Gâtinais Val de Loing, nature: CC, SIREN: 200023919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stratégique 1 - Développement économique-tourisme</w:t>
      </w:r>
    </w:p>
    <w:p>
      <w:pPr>
        <w:numPr>
          <w:ilvl w:val="0"/>
          <w:numId w:val="1004"/>
        </w:numPr>
        <w:pStyle w:val="Compact"/>
      </w:pPr>
      <w:r>
        <w:t xml:space="preserve">Orientation stratégique 2 - Energie-patrimoine (y compris accessibilité)</w:t>
      </w:r>
    </w:p>
    <w:p>
      <w:pPr>
        <w:numPr>
          <w:ilvl w:val="0"/>
          <w:numId w:val="1004"/>
        </w:numPr>
        <w:pStyle w:val="Compact"/>
      </w:pPr>
      <w:r>
        <w:t xml:space="preserve">Orientation stratégique 3 - Environnement-biodiversité</w:t>
      </w:r>
    </w:p>
    <w:p>
      <w:pPr>
        <w:numPr>
          <w:ilvl w:val="0"/>
          <w:numId w:val="1004"/>
        </w:numPr>
        <w:pStyle w:val="Compact"/>
      </w:pPr>
      <w:r>
        <w:t xml:space="preserve">Orientation stratégique 4 - Mobilité</w:t>
      </w:r>
    </w:p>
    <w:p>
      <w:pPr>
        <w:numPr>
          <w:ilvl w:val="0"/>
          <w:numId w:val="1004"/>
        </w:numPr>
        <w:pStyle w:val="Compact"/>
      </w:pPr>
      <w:r>
        <w:t xml:space="preserve">Orientation stratégique 5 - Eau et assainissement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78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Gâtinais Val de Loing, nature: CC, SIREN: 200023919</w:t>
      </w:r>
    </w:p>
    <w:p>
      <w:pPr>
        <w:numPr>
          <w:ilvl w:val="0"/>
          <w:numId w:val="1006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 Bureau communautaire et Conseil communautaire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Syndicat départemental des Energies de Seine-et-Marne (SDESM), CD77, Région IDF, SNCF, CAF, Mutuelle sociale agricole, et Agence de l’eau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Extension urbaine maîtrisée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4.06M€</w:t>
      </w:r>
    </w:p>
    <w:p>
      <w:pPr>
        <w:pStyle w:val="TextBody"/>
      </w:pPr>
      <w:r>
        <w:t xml:space="preserve">Montant total prévisionnel en euros des actions en dépenses d’investissement : 3.64M€</w:t>
      </w:r>
    </w:p>
    <w:p>
      <w:pPr>
        <w:pStyle w:val="TextBody"/>
      </w:pPr>
      <w:r>
        <w:t xml:space="preserve">Montant total en euros des engagements financiers des collectivités locales et leurs établissements publics : 1.54M€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