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TextBody"/>
      </w:pPr>
      <w:r>
        <w:t xml:space="preserve">Date de signature du CRTE : 13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Commlunauté de communes Sud Sarthe</w:t>
      </w:r>
    </w:p>
    <w:p>
      <w:pPr>
        <w:pStyle w:val="TextBody"/>
      </w:pPr>
      <w:r>
        <w:t xml:space="preserve">Si protocole de préfiguration : date de signature : 05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CC Sud Sarthe, nature: CC, SIREN: 200073112</w:t>
      </w:r>
    </w:p>
    <w:p>
      <w:pPr>
        <w:numPr>
          <w:ilvl w:val="0"/>
          <w:numId w:val="1001"/>
        </w:numPr>
        <w:pStyle w:val="Compact"/>
      </w:pPr>
      <w:r>
        <w:t xml:space="preserve">Nom: PETR Pays vallée du Loir, nature: PETR, SIREN: 200076396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STRATEGIQUE 1 : ACCOMPAGNER LE DEVELOPPEMENT D’UNE ECONOMIE ATTRACTIVE ET DURABLE AXE 1 : Accompagner le développement durable de l’espace économique</w:t>
      </w:r>
    </w:p>
    <w:p>
      <w:pPr>
        <w:numPr>
          <w:ilvl w:val="0"/>
          <w:numId w:val="1004"/>
        </w:numPr>
        <w:pStyle w:val="Compact"/>
      </w:pPr>
      <w:r>
        <w:t xml:space="preserve">Développer et renforcer une économie diversifiée sur le territoire, tout en favorisant les secteurs à haute-valeur ajoutée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Faire de la transition écologique un levier de développement économique en accueillant des nouvelles activités spécialisées et en accompagnant les entreprises implantées dans la prise en compte de ces enjeux.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le maintien et accompagner à la reprise des commerces de proximité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Accompagner les entreprises à recruter sur le territoire :</w:t>
      </w:r>
    </w:p>
    <w:p>
      <w:pPr>
        <w:numPr>
          <w:ilvl w:val="0"/>
          <w:numId w:val="1004"/>
        </w:numPr>
        <w:pStyle w:val="Compact"/>
      </w:pPr>
      <w:r>
        <w:t xml:space="preserve">AXE 2 : Soutenir une agriculture de qualité, à haute qualité paysagère et économiquement viable</w:t>
      </w:r>
    </w:p>
    <w:p>
      <w:pPr>
        <w:numPr>
          <w:ilvl w:val="0"/>
          <w:numId w:val="1004"/>
        </w:numPr>
        <w:pStyle w:val="Compact"/>
      </w:pPr>
      <w:r>
        <w:t xml:space="preserve">Maintenir le paysage bocager,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Accompagner les transitions climatiques et environnementales,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Promouvoir la commercialisation des produits agricoles du territoire,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Accompagner la transmission des exploitations agricoles,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Soutenir le développement des circuits courts et de proximité, en lien avec la restauration collective. AXE 3 : Renforcer une économie touristique de qualité et équilibrée</w:t>
      </w:r>
    </w:p>
    <w:p>
      <w:pPr>
        <w:numPr>
          <w:ilvl w:val="0"/>
          <w:numId w:val="1004"/>
        </w:numPr>
        <w:pStyle w:val="Compact"/>
      </w:pPr>
      <w:r>
        <w:t xml:space="preserve">Renforcer la richesse touristique : patrimoine ancien et paysages pour renforcer son rayonnement,</w:t>
      </w:r>
    </w:p>
    <w:p>
      <w:pPr>
        <w:numPr>
          <w:ilvl w:val="0"/>
          <w:numId w:val="1004"/>
        </w:numPr>
        <w:pStyle w:val="Compact"/>
      </w:pPr>
      <w:r>
        <w:t xml:space="preserve">Favoriser la création d’offre de séjours : hébergement, hors saison, tourisme d’affaires,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le développement du cyclotourisme.</w:t>
      </w:r>
    </w:p>
    <w:p>
      <w:pPr>
        <w:numPr>
          <w:ilvl w:val="0"/>
          <w:numId w:val="1004"/>
        </w:numPr>
        <w:pStyle w:val="Compact"/>
      </w:pPr>
      <w:r>
        <w:t xml:space="preserve">ORIENTATION STRATEGIQUE 2 : REVITALISER LE TERRITOIRE ET RENFORCER SON ATTRACTIVITE PAR L’HABITAT ET LA MOBILITE AXE 1 : Adapter l’offre de logement aux besoins et ambitions du territoire</w:t>
      </w:r>
    </w:p>
    <w:p>
      <w:pPr>
        <w:numPr>
          <w:ilvl w:val="0"/>
          <w:numId w:val="1004"/>
        </w:numPr>
        <w:pStyle w:val="Compact"/>
      </w:pPr>
      <w:r>
        <w:t xml:space="preserve">Moderniser le parc de logements par la rénovation thermique et énergétique</w:t>
      </w:r>
    </w:p>
    <w:p>
      <w:pPr>
        <w:numPr>
          <w:ilvl w:val="0"/>
          <w:numId w:val="1004"/>
        </w:numPr>
        <w:pStyle w:val="Compact"/>
      </w:pPr>
      <w:r>
        <w:t xml:space="preserve">Traiter la vacance, source de logements dégradés et indignes, par des travaux de réhabilitation globaux</w:t>
      </w:r>
    </w:p>
    <w:p>
      <w:pPr>
        <w:numPr>
          <w:ilvl w:val="0"/>
          <w:numId w:val="1004"/>
        </w:numPr>
        <w:pStyle w:val="Compact"/>
      </w:pPr>
      <w:r>
        <w:t xml:space="preserve">Adapter l’offre de logement aux parcours des familles et de vie des habitants : du jeune apprenti aux personnes âgées en passant par les familles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Promouvoir une offre locative adaptée notamment pour les jeunes actifs</w:t>
      </w:r>
    </w:p>
    <w:p>
      <w:pPr>
        <w:numPr>
          <w:ilvl w:val="0"/>
          <w:numId w:val="1004"/>
        </w:numPr>
        <w:pStyle w:val="Compact"/>
      </w:pPr>
      <w:r>
        <w:t xml:space="preserve">AXE 2 : Faciliter la mobilité en réduisant ses impacts environnementaux</w:t>
      </w:r>
    </w:p>
    <w:p>
      <w:pPr>
        <w:numPr>
          <w:ilvl w:val="0"/>
          <w:numId w:val="1004"/>
        </w:numPr>
        <w:pStyle w:val="Compact"/>
      </w:pPr>
      <w:r>
        <w:t xml:space="preserve">Soutenir et développer la mobilité des acteurs locaux : entreprises et salariés, accès aux commerces et services de proximité</w:t>
      </w:r>
    </w:p>
    <w:p>
      <w:pPr>
        <w:numPr>
          <w:ilvl w:val="0"/>
          <w:numId w:val="1004"/>
        </w:numPr>
        <w:pStyle w:val="Compact"/>
      </w:pPr>
      <w:r>
        <w:t xml:space="preserve">Réduire l’utilisation des énergies fossiles pour les déplacements : mobilités évitées, actives, partagées, motorisations alternatives, transport collectif et intermodalité</w:t>
      </w:r>
    </w:p>
    <w:p>
      <w:pPr>
        <w:numPr>
          <w:ilvl w:val="0"/>
          <w:numId w:val="1004"/>
        </w:numPr>
        <w:pStyle w:val="Compact"/>
      </w:pPr>
      <w:r>
        <w:t xml:space="preserve">Permettre à chacun de se déplacer : lutter contre la précarité des déplacements, associer les habitants et faciliter les déplacements internes et externes</w:t>
      </w:r>
    </w:p>
    <w:p>
      <w:pPr>
        <w:numPr>
          <w:ilvl w:val="0"/>
          <w:numId w:val="1004"/>
        </w:numPr>
        <w:pStyle w:val="Compact"/>
      </w:pPr>
      <w:r>
        <w:t xml:space="preserve">Rendre les gares et haltes ferroviaires du territoire (Mayet, Vaas, Aubigné-Racan) plus attractives et innovantes ORIENTATION STRATEGIQUE 3 : OPTIMISER L’OFFRE DE SERVICES POUR GARANTIR UNE HAUTE QUALITE DE VIE AXE 1 : Garantir un accès aux services pour tous</w:t>
      </w:r>
    </w:p>
    <w:p>
      <w:pPr>
        <w:numPr>
          <w:ilvl w:val="0"/>
          <w:numId w:val="1004"/>
        </w:numPr>
        <w:pStyle w:val="Compact"/>
      </w:pPr>
      <w:r>
        <w:t xml:space="preserve">Offrir aux parents des modes de garde adaptés à leurs besoins et moyens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Valoriser l’accueil de la petite enfance à la jeunesse</w:t>
      </w:r>
    </w:p>
    <w:p>
      <w:pPr>
        <w:numPr>
          <w:ilvl w:val="0"/>
          <w:numId w:val="1004"/>
        </w:numPr>
        <w:pStyle w:val="Compact"/>
      </w:pPr>
      <w:r>
        <w:t xml:space="preserve">Maintenir et développer les services petite enfance, péri et extra-scolaires</w:t>
      </w:r>
    </w:p>
    <w:p>
      <w:pPr>
        <w:numPr>
          <w:ilvl w:val="0"/>
          <w:numId w:val="1004"/>
        </w:numPr>
        <w:pStyle w:val="Compact"/>
      </w:pPr>
      <w:r>
        <w:t xml:space="preserve">Maintenir et communiquer davantage sur les accueils de la petite enfance</w:t>
      </w:r>
    </w:p>
    <w:p>
      <w:pPr>
        <w:numPr>
          <w:ilvl w:val="0"/>
          <w:numId w:val="1004"/>
        </w:numPr>
        <w:pStyle w:val="Compact"/>
      </w:pPr>
      <w:r>
        <w:t xml:space="preserve">Améliorer l’offre de santé sur l’ensemble du territoire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Adapter les services aux personnes âgées pour favoriser leur autonomie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Soutenir la qualité de l’offre culturelle et sportive sur l’ensemble du territoire AXE 2 : Développer globalement le territoire via les réseaux numériques</w:t>
      </w:r>
    </w:p>
    <w:p>
      <w:pPr>
        <w:numPr>
          <w:ilvl w:val="0"/>
          <w:numId w:val="1004"/>
        </w:numPr>
        <w:pStyle w:val="Compact"/>
      </w:pPr>
      <w:r>
        <w:t xml:space="preserve">Assurer une desserte numérique complète aux opérateurs pour les structures médicalisées, les centre-bourgs, les établissements scolaires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la mobilité évitée par le développement de services numériques de proximité, le coworking et le télétravail.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Favoriser l’inclusion numérique auprès des populations notamment pour les démarches dématérialisées</w:t>
      </w:r>
    </w:p>
    <w:p>
      <w:pPr>
        <w:numPr>
          <w:ilvl w:val="0"/>
          <w:numId w:val="1004"/>
        </w:numPr>
        <w:pStyle w:val="Compact"/>
      </w:pPr>
      <w:r>
        <w:t xml:space="preserve">ORIENTATION STRATEGIQUE 4 : FAIRE DE LA TRANSITION ECOLOGIQUE UN LEVIER D’ATTRACTIVITE ET DE RESILIENCE AU SERVICE DES ACTEURS LOCAUX AXE 1 : Préserver le patrimoine naturel et les ressources du territoire</w:t>
      </w:r>
    </w:p>
    <w:p>
      <w:pPr>
        <w:numPr>
          <w:ilvl w:val="0"/>
          <w:numId w:val="1004"/>
        </w:numPr>
        <w:pStyle w:val="Compact"/>
      </w:pPr>
      <w:r>
        <w:t xml:space="preserve">Protéger et valoriser les paysages et le bocage,</w:t>
      </w:r>
    </w:p>
    <w:p>
      <w:pPr>
        <w:numPr>
          <w:ilvl w:val="0"/>
          <w:numId w:val="1004"/>
        </w:numPr>
        <w:pStyle w:val="Compact"/>
      </w:pPr>
      <w:r>
        <w:t xml:space="preserve">Connaitre et préserver la biodiversité,</w:t>
      </w:r>
    </w:p>
    <w:p>
      <w:pPr>
        <w:numPr>
          <w:ilvl w:val="0"/>
          <w:numId w:val="1004"/>
        </w:numPr>
        <w:pStyle w:val="Compact"/>
      </w:pPr>
      <w:r>
        <w:t xml:space="preserve">Protéger et gérer la ressource en eau. AXE 2 : Tendre vers l’autonomie énergétique: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Réduire la dépendance énergétique du territoire aux énergies fossiles,</w:t>
      </w:r>
    </w:p>
    <w:p>
      <w:pPr>
        <w:numPr>
          <w:ilvl w:val="0"/>
          <w:numId w:val="1004"/>
        </w:numPr>
        <w:pStyle w:val="Compact"/>
      </w:pPr>
      <w:r>
        <w:t xml:space="preserve">Développer la production d’énergie renouvelable.</w:t>
      </w:r>
    </w:p>
    <w:p>
      <w:pPr>
        <w:numPr>
          <w:ilvl w:val="0"/>
          <w:numId w:val="1004"/>
        </w:numPr>
        <w:pStyle w:val="Compact"/>
      </w:pPr>
      <w:r>
        <w:t xml:space="preserve">AXE 3 : Développer les activités et services en lien avec la transition écologique</w:t>
      </w:r>
    </w:p>
    <w:p>
      <w:pPr>
        <w:numPr>
          <w:ilvl w:val="0"/>
          <w:numId w:val="1004"/>
        </w:numPr>
        <w:pStyle w:val="Compact"/>
      </w:pPr>
      <w:r>
        <w:t xml:space="preserve">Soutenir les activités économiques et associatives en lien avec la transition écologique,</w:t>
      </w:r>
    </w:p>
    <w:p>
      <w:pPr>
        <w:numPr>
          <w:ilvl w:val="0"/>
          <w:numId w:val="1004"/>
        </w:numPr>
        <w:pStyle w:val="Compact"/>
      </w:pPr>
      <w:r>
        <w:t xml:space="preserve">Développer la consommation de proximité et l’économie circulaire.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75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Sud Sarthe, nature: CC, SIREN: 200073112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DDTES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4.24M€</w:t>
      </w:r>
    </w:p>
    <w:p>
      <w:pPr>
        <w:pStyle w:val="TextBody"/>
      </w:pPr>
      <w:r>
        <w:t xml:space="preserve">Montant total en euros des engagements financiers des collectivités locales et leurs établissements publics : 2.91M€</w:t>
      </w:r>
    </w:p>
    <w:p>
      <w:pPr>
        <w:pStyle w:val="TextBody"/>
      </w:pPr>
      <w:r>
        <w:t xml:space="preserve">Montant total en euros des engagements financiers de l’Etat et de ses opérateurs Plan de relance : 397 980€</w:t>
      </w:r>
    </w:p>
    <w:p>
      <w:pPr>
        <w:pStyle w:val="TextBody"/>
      </w:pPr>
      <w:r>
        <w:t xml:space="preserve">Montant total en euros des engagements financiers de l’Etat et de ses opérateurs hors plan de relance : 931 988€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