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Champagne Conlinoise et du Pays de Sillé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CC de la Champagne Conlinoise et du Pays de Sillé, nature: CC, SIREN: 200072718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Conserver le cadre de vie et l’authenticité de notre territoire rural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le développement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Redynamiser les centres bourgs</w:t>
      </w:r>
    </w:p>
    <w:p>
      <w:pPr>
        <w:numPr>
          <w:ilvl w:val="0"/>
          <w:numId w:val="1005"/>
        </w:numPr>
        <w:pStyle w:val="Compact"/>
      </w:pPr>
      <w:r>
        <w:t xml:space="preserve">Orientation 5 : Permettre un meilleur accès aux services publics et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6 : Développer la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17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Nom: CC de la Champagne Conlinoise et du Pays de Sillé, nature: CC, SIREN: 200072718</w:t>
      </w:r>
    </w:p>
    <w:p>
      <w:pPr>
        <w:numPr>
          <w:ilvl w:val="0"/>
          <w:numId w:val="1007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CPAM, ARS, EHPAD, Caisse des retraites, SECOS, SDIS, ADEME, Club d’entreprises, Communes, Région , Département, CA, CMA, et CCI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pStyle w:val="FirstParagraph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1.99M€</w:t>
      </w:r>
    </w:p>
    <w:p>
      <w:pPr>
        <w:pStyle w:val="TextBody"/>
      </w:pPr>
      <w:r>
        <w:t xml:space="preserve">Montant total en euros des engagements financiers des collectivités locales et leurs établissements publics : 1.54M€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