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Loir-Lucé-Bercé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PETR Pays vallée du Loir, nature: PETR, SIREN: 200076396</w:t>
      </w:r>
    </w:p>
    <w:p>
      <w:pPr>
        <w:numPr>
          <w:ilvl w:val="0"/>
          <w:numId w:val="1001"/>
        </w:numPr>
        <w:pStyle w:val="Compact"/>
      </w:pPr>
      <w:r>
        <w:t xml:space="preserve">Nom: CC Loir-Lucé-Bercé, nature: CC, SIREN: 200070373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STRATEGIQUE 1 : DYNAMISER L’ECONOMIE ET RENDRE L’EMPLOI ATTRACTIF AXE 1 : Conduire une stratégie économique pour assurer des activités pérennes Principaux objectifs :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Optimiser l’offre foncière pour attirer les entreprises et répondre à leurs besoins</w:t>
      </w:r>
    </w:p>
    <w:p>
      <w:pPr>
        <w:numPr>
          <w:ilvl w:val="0"/>
          <w:numId w:val="1004"/>
        </w:numPr>
        <w:pStyle w:val="Compact"/>
      </w:pPr>
      <w:r>
        <w:t xml:space="preserve">Développer et structurer les filières locales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Soutenir l’activité agricole dans son maintien et sa transition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Mettre au point une stratégie collective de marketing territorial adaptée au territoire AXE 2 : Innover pour faciliter l’accès à l’emploi</w:t>
      </w:r>
    </w:p>
    <w:p>
      <w:pPr>
        <w:numPr>
          <w:ilvl w:val="0"/>
          <w:numId w:val="1004"/>
        </w:numPr>
        <w:pStyle w:val="Compact"/>
      </w:pPr>
      <w:r>
        <w:t xml:space="preserve">Développer une offre de formation répondant aux besoins identifiés, notamment en partenariat avec LoirCoWork</w:t>
      </w:r>
    </w:p>
    <w:p>
      <w:pPr>
        <w:numPr>
          <w:ilvl w:val="0"/>
          <w:numId w:val="1004"/>
        </w:numPr>
        <w:pStyle w:val="Compact"/>
      </w:pPr>
      <w:r>
        <w:t xml:space="preserve">Favoriser l’adéquation offre/demande avec une plateforme de mise en relation</w:t>
      </w:r>
    </w:p>
    <w:p>
      <w:pPr>
        <w:numPr>
          <w:ilvl w:val="0"/>
          <w:numId w:val="1004"/>
        </w:numPr>
        <w:pStyle w:val="Compact"/>
      </w:pPr>
      <w:r>
        <w:t xml:space="preserve">Proposer une offre de services adaptés à la main d’œuvre non permanente</w:t>
      </w:r>
    </w:p>
    <w:p>
      <w:pPr>
        <w:numPr>
          <w:ilvl w:val="0"/>
          <w:numId w:val="1004"/>
        </w:numPr>
        <w:pStyle w:val="Compact"/>
      </w:pPr>
      <w:r>
        <w:t xml:space="preserve">Lever les freins à l’emploi liés à la mobilité AXE 3 : Faciliter l’accès au numérique</w:t>
      </w:r>
    </w:p>
    <w:p>
      <w:pPr>
        <w:numPr>
          <w:ilvl w:val="0"/>
          <w:numId w:val="1004"/>
        </w:numPr>
        <w:pStyle w:val="Compact"/>
      </w:pPr>
      <w:r>
        <w:t xml:space="preserve">Développer et gérer le réseau</w:t>
      </w:r>
    </w:p>
    <w:p>
      <w:pPr>
        <w:numPr>
          <w:ilvl w:val="0"/>
          <w:numId w:val="1004"/>
        </w:numPr>
        <w:pStyle w:val="Compact"/>
      </w:pPr>
      <w:r>
        <w:t xml:space="preserve">Accompagner des populations éloignées du numérique</w:t>
      </w:r>
    </w:p>
    <w:p>
      <w:pPr>
        <w:numPr>
          <w:ilvl w:val="0"/>
          <w:numId w:val="1004"/>
        </w:numPr>
        <w:pStyle w:val="Compact"/>
      </w:pPr>
      <w:r>
        <w:t xml:space="preserve">Tirer le meilleur parti des outils numériques pour développer le territoire ORIENTATION STRATEGIQUE 2 : PRESERVER LE CADRE DE VIE AXE 1 : Préserver, protéger et gérer durablement les ressources en eau Améliorer la gestion de la ressource en eau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Garantir la qualité écologique de l’eau</w:t>
      </w:r>
    </w:p>
    <w:p>
      <w:pPr>
        <w:numPr>
          <w:ilvl w:val="0"/>
          <w:numId w:val="1004"/>
        </w:numPr>
        <w:pStyle w:val="Compact"/>
      </w:pPr>
      <w:r>
        <w:t xml:space="preserve">Prévenir les risques de catastrophe naturelles AXE 2 : Impulser une démarche de transition écologique</w:t>
      </w:r>
    </w:p>
    <w:p>
      <w:pPr>
        <w:numPr>
          <w:ilvl w:val="0"/>
          <w:numId w:val="1004"/>
        </w:numPr>
        <w:pStyle w:val="Compact"/>
      </w:pPr>
      <w:r>
        <w:t xml:space="preserve">Faire du patrimoine municipal et de l’aménagement un levier d’atténuation du changement climatique</w:t>
      </w:r>
    </w:p>
    <w:p>
      <w:pPr>
        <w:numPr>
          <w:ilvl w:val="0"/>
          <w:numId w:val="1004"/>
        </w:numPr>
        <w:pStyle w:val="Compact"/>
      </w:pPr>
      <w:r>
        <w:t xml:space="preserve">Développer les énergies renouvelables</w:t>
      </w:r>
    </w:p>
    <w:p>
      <w:pPr>
        <w:numPr>
          <w:ilvl w:val="0"/>
          <w:numId w:val="1004"/>
        </w:numPr>
        <w:pStyle w:val="Compact"/>
      </w:pPr>
      <w:r>
        <w:t xml:space="preserve">Réduire et mieux recycler les déchets</w:t>
      </w:r>
    </w:p>
    <w:p>
      <w:pPr>
        <w:numPr>
          <w:ilvl w:val="0"/>
          <w:numId w:val="1004"/>
        </w:numPr>
        <w:pStyle w:val="Compact"/>
      </w:pPr>
      <w:r>
        <w:t xml:space="preserve">Sensibiliser tous les acteurs du territoire à la protection de l’environnement AXE 3 : Mettre en valeur les richesses paysagères, le patrimoine naturel et bâti</w:t>
      </w:r>
    </w:p>
    <w:p>
      <w:pPr>
        <w:numPr>
          <w:ilvl w:val="0"/>
          <w:numId w:val="1004"/>
        </w:numPr>
        <w:pStyle w:val="Compact"/>
      </w:pPr>
      <w:r>
        <w:t xml:space="preserve">Préserver le patrimoine bâti</w:t>
      </w:r>
    </w:p>
    <w:p>
      <w:pPr>
        <w:numPr>
          <w:ilvl w:val="0"/>
          <w:numId w:val="1004"/>
        </w:numPr>
        <w:pStyle w:val="Compact"/>
      </w:pPr>
      <w:r>
        <w:t xml:space="preserve">Mettre en valeur les richesses naturelles et paysagères</w:t>
      </w:r>
    </w:p>
    <w:p>
      <w:pPr>
        <w:numPr>
          <w:ilvl w:val="0"/>
          <w:numId w:val="1004"/>
        </w:numPr>
        <w:pStyle w:val="Compact"/>
      </w:pPr>
      <w:r>
        <w:t xml:space="preserve">Faire la promotion des richesses du territoire ORIENTATION STRATEGIQUE 3 : ACCUEILLIR, ATTIRER ET FAIRE RESTER LES FAMILLES AXE 1 : Adapter les logements</w:t>
      </w:r>
    </w:p>
    <w:p>
      <w:pPr>
        <w:numPr>
          <w:ilvl w:val="0"/>
          <w:numId w:val="1004"/>
        </w:numPr>
        <w:pStyle w:val="Compact"/>
      </w:pPr>
      <w:r>
        <w:t xml:space="preserve">Favoriser la rénovation des logements anciens et réduire la vacance</w:t>
      </w:r>
    </w:p>
    <w:p>
      <w:pPr>
        <w:numPr>
          <w:ilvl w:val="0"/>
          <w:numId w:val="1004"/>
        </w:numPr>
        <w:pStyle w:val="Compact"/>
      </w:pPr>
      <w:r>
        <w:t xml:space="preserve">Adapter l’habitat existant à une population vieillissante</w:t>
      </w:r>
    </w:p>
    <w:p>
      <w:pPr>
        <w:numPr>
          <w:ilvl w:val="0"/>
          <w:numId w:val="1004"/>
        </w:numPr>
        <w:pStyle w:val="Compact"/>
      </w:pPr>
      <w:r>
        <w:t xml:space="preserve">Proposer une offre de logement attractive aux jeunes actifs AXE 2 : Accompagner et inclure les familles</w:t>
      </w:r>
    </w:p>
    <w:p>
      <w:pPr>
        <w:numPr>
          <w:ilvl w:val="0"/>
          <w:numId w:val="1004"/>
        </w:numPr>
        <w:pStyle w:val="Compact"/>
      </w:pPr>
      <w:r>
        <w:t xml:space="preserve">Adapter l’accueil de la petite enfance aux besoins des habitants</w:t>
      </w:r>
    </w:p>
    <w:p>
      <w:pPr>
        <w:numPr>
          <w:ilvl w:val="0"/>
          <w:numId w:val="1004"/>
        </w:numPr>
        <w:pStyle w:val="Compact"/>
      </w:pPr>
      <w:r>
        <w:t xml:space="preserve">Proposer un meilleur accueil des enfants et adolescents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Favoriser l’autonomie des seniors</w:t>
      </w:r>
    </w:p>
    <w:p>
      <w:pPr>
        <w:numPr>
          <w:ilvl w:val="0"/>
          <w:numId w:val="1004"/>
        </w:numPr>
        <w:pStyle w:val="Compact"/>
      </w:pPr>
      <w:r>
        <w:t xml:space="preserve">Développer la communication et les services aux habitants AXE 3 : Mettre en valeur les richesses culturelles et le sport</w:t>
      </w:r>
    </w:p>
    <w:p>
      <w:pPr>
        <w:numPr>
          <w:ilvl w:val="0"/>
          <w:numId w:val="1004"/>
        </w:numPr>
        <w:pStyle w:val="Compact"/>
      </w:pPr>
      <w:r>
        <w:t xml:space="preserve">Développer l’offre culturelle</w:t>
      </w:r>
    </w:p>
    <w:p>
      <w:pPr>
        <w:numPr>
          <w:ilvl w:val="0"/>
          <w:numId w:val="1004"/>
        </w:numPr>
        <w:pStyle w:val="Compact"/>
      </w:pPr>
      <w:r>
        <w:t xml:space="preserve">Compléter le maillage en équipements sportifs</w:t>
      </w:r>
    </w:p>
    <w:p>
      <w:pPr>
        <w:numPr>
          <w:ilvl w:val="0"/>
          <w:numId w:val="1004"/>
        </w:numPr>
        <w:pStyle w:val="Compact"/>
      </w:pPr>
      <w:r>
        <w:t xml:space="preserve">Coordonner et communiquer sur les événements sportifs et culturels ORIENTATION STRATEGIQUE 4 : RENFORCER LA PROXIMITE ET L’ACCESSIBILITE DES SERVICES AXE 1 : Faciliter les déplacements Principaux objectifs :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Favoriser de meilleurs usages de la voiture</w:t>
      </w:r>
    </w:p>
    <w:p>
      <w:pPr>
        <w:numPr>
          <w:ilvl w:val="0"/>
          <w:numId w:val="1004"/>
        </w:numPr>
        <w:pStyle w:val="Compact"/>
      </w:pPr>
      <w:r>
        <w:t xml:space="preserve">Développer les mobilités douces</w:t>
      </w:r>
    </w:p>
    <w:p>
      <w:pPr>
        <w:numPr>
          <w:ilvl w:val="0"/>
          <w:numId w:val="1004"/>
        </w:numPr>
        <w:pStyle w:val="Compact"/>
      </w:pPr>
      <w:r>
        <w:t xml:space="preserve">Proposer des solutions de transport inclusives AXE 2 : Réinvestir les centre-bourg Principaux objectifs :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Améliorer l’espace public des centre-bourgs</w:t>
      </w:r>
    </w:p>
    <w:p>
      <w:pPr>
        <w:numPr>
          <w:ilvl w:val="0"/>
          <w:numId w:val="1004"/>
        </w:numPr>
        <w:pStyle w:val="Compact"/>
      </w:pPr>
      <w:r>
        <w:t xml:space="preserve">Garantir l’accessibilité des centre-bourgs à tous</w:t>
      </w:r>
    </w:p>
    <w:p>
      <w:pPr>
        <w:numPr>
          <w:ilvl w:val="0"/>
          <w:numId w:val="1004"/>
        </w:numPr>
        <w:pStyle w:val="Compact"/>
      </w:pPr>
      <w:r>
        <w:t xml:space="preserve">Maintenir et développer l’offre commerciale et de service dans les centre-bourgs AXE 3 : Répondre aux besoins de santé Principaux objectifs :</w:t>
      </w:r>
    </w:p>
    <w:p>
      <w:pPr>
        <w:numPr>
          <w:ilvl w:val="0"/>
          <w:numId w:val="1004"/>
        </w:numPr>
        <w:pStyle w:val="Compact"/>
      </w:pPr>
      <w:r>
        <w:t xml:space="preserve">Garantir une offre médicale de qualité sur le territoire</w:t>
      </w:r>
    </w:p>
    <w:p>
      <w:pPr>
        <w:numPr>
          <w:ilvl w:val="0"/>
          <w:numId w:val="1004"/>
        </w:numPr>
        <w:pStyle w:val="Compact"/>
      </w:pPr>
      <w:r>
        <w:t xml:space="preserve">Adapter la pratique médicale pour une vision globale de la santé</w:t>
      </w:r>
    </w:p>
    <w:p>
      <w:pPr>
        <w:numPr>
          <w:ilvl w:val="0"/>
          <w:numId w:val="1004"/>
        </w:numPr>
        <w:pStyle w:val="Compact"/>
      </w:pPr>
      <w:r>
        <w:t xml:space="preserve">Mettre à profit les nouvelles technologies pour mieux se soigner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97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DDTES</w:t>
      </w:r>
    </w:p>
    <w:p>
      <w:pPr>
        <w:numPr>
          <w:ilvl w:val="0"/>
          <w:numId w:val="1006"/>
        </w:numPr>
        <w:pStyle w:val="Compact"/>
      </w:pPr>
      <w:r>
        <w:t xml:space="preserve">ARS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6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6"/>
        </w:numPr>
        <w:pStyle w:val="Compact"/>
      </w:pPr>
      <w:r>
        <w:t xml:space="preserve">Nom: PETR Pays vallée du Loir, nature: PETR, SIREN: 200076396</w:t>
      </w:r>
    </w:p>
    <w:p>
      <w:pPr>
        <w:numPr>
          <w:ilvl w:val="0"/>
          <w:numId w:val="1006"/>
        </w:numPr>
        <w:pStyle w:val="Compact"/>
      </w:pPr>
      <w:r>
        <w:t xml:space="preserve">Nom: CC Loir-Lucé-Bercé, nature: CC, SIREN: 200070373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3.03M€</w:t>
      </w:r>
    </w:p>
    <w:p>
      <w:pPr>
        <w:pStyle w:val="TextBody"/>
      </w:pPr>
      <w:r>
        <w:t xml:space="preserve">Montant total en euros des engagements financiers des collectivités locales et leurs établissements publics : 2.07M€</w:t>
      </w:r>
    </w:p>
    <w:p>
      <w:pPr>
        <w:pStyle w:val="TextBody"/>
      </w:pPr>
      <w:r>
        <w:t xml:space="preserve">Montant total en euros des engagements financiers de l’Etat et de ses opérateurs Plan de relance : 216 000€</w:t>
      </w:r>
    </w:p>
    <w:p>
      <w:pPr>
        <w:pStyle w:val="TextBody"/>
      </w:pPr>
      <w:r>
        <w:t xml:space="preserve">Montant total en euros des engagements financiers de l’Etat et de ses opérateurs hors plan de relance : 710 600€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30 000€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