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TextBody"/>
      </w:pPr>
      <w:r>
        <w:t xml:space="preserve">Date de signature du CRTE : 06 décembre 2021</w:t>
      </w:r>
    </w:p>
    <w:p>
      <w:pPr>
        <w:pStyle w:val="TextBody"/>
      </w:pPr>
      <w:r>
        <w:t xml:space="preserve">Nature juridique de la structure porteuse : Communauté urbaine</w:t>
      </w:r>
    </w:p>
    <w:p>
      <w:pPr>
        <w:pStyle w:val="TextBody"/>
      </w:pPr>
      <w:r>
        <w:t xml:space="preserve">Nom de la structure porteuse : Le Mans Métropole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SM du Pays du Mans, nature: SMO, SIREN: 200078426</w:t>
      </w:r>
    </w:p>
    <w:p>
      <w:pPr>
        <w:numPr>
          <w:ilvl w:val="0"/>
          <w:numId w:val="1001"/>
        </w:numPr>
        <w:pStyle w:val="Compact"/>
      </w:pPr>
      <w:r>
        <w:t xml:space="preserve">Nom: CU Le Mans Métropole, nature: CU, SIREN: 247200132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stratégiques du Pole Métropolitain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Contrats régionaux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numPr>
          <w:ilvl w:val="0"/>
          <w:numId w:val="1003"/>
        </w:numPr>
        <w:pStyle w:val="Compact"/>
      </w:pPr>
      <w:r>
        <w:t xml:space="preserve">convention de relance du département</w:t>
      </w:r>
    </w:p>
    <w:p>
      <w:pPr>
        <w:pStyle w:val="FirstParagraph"/>
      </w:pPr>
      <w:r>
        <w:t xml:space="preserve">Liste des programmes de l’ANCT intégrés : Territoires d’industrie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1 : Développer un territoire durable et vivant</w:t>
      </w:r>
    </w:p>
    <w:p>
      <w:pPr>
        <w:numPr>
          <w:ilvl w:val="0"/>
          <w:numId w:val="1004"/>
        </w:numPr>
        <w:pStyle w:val="Compact"/>
      </w:pPr>
      <w:r>
        <w:t xml:space="preserve">Ambition 2 : Favoriser un territoire protecteur et solidaire</w:t>
      </w:r>
    </w:p>
    <w:p>
      <w:pPr>
        <w:numPr>
          <w:ilvl w:val="0"/>
          <w:numId w:val="1004"/>
        </w:numPr>
        <w:pStyle w:val="Compact"/>
      </w:pPr>
      <w:r>
        <w:t xml:space="preserve">Ambition 3 : Promouvoir les mobilités</w:t>
      </w:r>
    </w:p>
    <w:p>
      <w:pPr>
        <w:numPr>
          <w:ilvl w:val="0"/>
          <w:numId w:val="1004"/>
        </w:numPr>
        <w:pStyle w:val="Compact"/>
      </w:pPr>
      <w:r>
        <w:t xml:space="preserve">Ambition 4 : Accompagner l’innovation et l’audace</w:t>
      </w:r>
    </w:p>
    <w:p>
      <w:pPr>
        <w:numPr>
          <w:ilvl w:val="0"/>
          <w:numId w:val="1004"/>
        </w:numPr>
        <w:pStyle w:val="Compact"/>
      </w:pPr>
      <w:r>
        <w:t xml:space="preserve">Ambition 5 : Soutenir les savoirs et les excellences</w:t>
      </w:r>
    </w:p>
    <w:p>
      <w:pPr>
        <w:numPr>
          <w:ilvl w:val="0"/>
          <w:numId w:val="1004"/>
        </w:numPr>
        <w:pStyle w:val="Compact"/>
      </w:pPr>
      <w:r>
        <w:t xml:space="preserve">Ambition 6 : Fortifier les dynamiques attractives</w:t>
      </w:r>
    </w:p>
    <w:p>
      <w:pPr>
        <w:numPr>
          <w:ilvl w:val="0"/>
          <w:numId w:val="1004"/>
        </w:numPr>
        <w:pStyle w:val="Compact"/>
      </w:pPr>
      <w:r>
        <w:t xml:space="preserve">Ambition 7 : Renforcer les connexions du territoire</w:t>
      </w:r>
    </w:p>
    <w:p>
      <w:pPr>
        <w:numPr>
          <w:ilvl w:val="0"/>
          <w:numId w:val="1004"/>
        </w:numPr>
        <w:pStyle w:val="Compact"/>
      </w:pPr>
      <w:r>
        <w:t xml:space="preserve">Orientation 1 : Renforcer l’attractivité et le développement équilibré du territoire</w:t>
      </w:r>
    </w:p>
    <w:p>
      <w:pPr>
        <w:numPr>
          <w:ilvl w:val="0"/>
          <w:numId w:val="1004"/>
        </w:numPr>
        <w:pStyle w:val="Compact"/>
      </w:pPr>
      <w:r>
        <w:t xml:space="preserve">Orientation 2 : Préserver les ressources du territoire et accompagner la transition énergétique</w:t>
      </w:r>
    </w:p>
    <w:p>
      <w:pPr>
        <w:numPr>
          <w:ilvl w:val="0"/>
          <w:numId w:val="1004"/>
        </w:numPr>
        <w:pStyle w:val="Compact"/>
      </w:pPr>
      <w:r>
        <w:t xml:space="preserve">Orientation 3 : Mettre en oeuvre une stratégie de mobilité durable</w:t>
      </w:r>
    </w:p>
    <w:p>
      <w:pPr>
        <w:numPr>
          <w:ilvl w:val="0"/>
          <w:numId w:val="1004"/>
        </w:numPr>
        <w:pStyle w:val="Compact"/>
      </w:pPr>
      <w:r>
        <w:t xml:space="preserve">Orientation 4 : Favoriser un territoire protecteur et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23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6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6"/>
        </w:numPr>
        <w:pStyle w:val="Compact"/>
      </w:pPr>
      <w:r>
        <w:t xml:space="preserve">Nom: CU Le Mans Métropole, nature: CU, SIREN: 247200132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locales (à définir)</w:t>
      </w:r>
    </w:p>
    <w:p>
      <w:pPr>
        <w:pStyle w:val="TextBody"/>
      </w:pPr>
      <w:r>
        <w:t xml:space="preserve">Démarches de co-construction du CRTE : NON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7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7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SM du Pays du Mans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127.44M€</w:t>
      </w:r>
    </w:p>
    <w:p>
      <w:pPr>
        <w:pStyle w:val="TextBody"/>
      </w:pPr>
      <w:r>
        <w:t xml:space="preserve">Montant total en euros des engagements financiers des collectivités locales et leurs établissements publics : 3.29M€</w:t>
      </w:r>
    </w:p>
    <w:p>
      <w:pPr>
        <w:pStyle w:val="TextBody"/>
      </w:pPr>
      <w:r>
        <w:t xml:space="preserve">Montant total en euros des engagements financiers de l’Etat et de ses opérateurs Plan de relance : 5.66M€</w:t>
      </w:r>
    </w:p>
    <w:p>
      <w:pPr>
        <w:pStyle w:val="TextBody"/>
      </w:pPr>
      <w:r>
        <w:t xml:space="preserve">Montant total en euros des engagements financiers de l’Etat et de ses opérateurs hors plan de relance : 12.85M€</w:t>
      </w:r>
    </w:p>
    <w:p>
      <w:pPr>
        <w:pStyle w:val="TextBody"/>
      </w:pPr>
      <w:r>
        <w:t xml:space="preserve">Montant total prévisionnel en euros des cofinancements européens : 4.81M€</w:t>
      </w:r>
    </w:p>
    <w:p>
      <w:pPr>
        <w:pStyle w:val="TextBody"/>
      </w:pPr>
      <w:r>
        <w:t xml:space="preserve">Montant total prévisionnel en euros des cofinancements privés : 377 095€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