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dominique.salata@saone-et-loire.gouv.fr</w:t>
      </w:r>
    </w:p>
    <w:p>
      <w:pPr>
        <w:pStyle w:val="TextBody"/>
      </w:pPr>
      <w:r>
        <w:t xml:space="preserve">Date de signature du CRTE : 05 juillet 2021</w:t>
      </w:r>
    </w:p>
    <w:p>
      <w:pPr>
        <w:pStyle w:val="TextBody"/>
      </w:pPr>
      <w:r>
        <w:t xml:space="preserve">Nature juridique de la structure porteuse : Syndicat mixte fermé</w:t>
      </w:r>
    </w:p>
    <w:p>
      <w:pPr>
        <w:pStyle w:val="TextBody"/>
      </w:pPr>
      <w:r>
        <w:t xml:space="preserve">Nom de la structure porteuse : Syndicat mixte du Chalonnais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SM du Chalonnais, nature: SMF, SIREN: 200033553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Projet de territoire Grand Chalon - Stratégie Climat Air Energie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avec la Région BFC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Pour un développement économique harmonieux, équilibré et innovant</w:t>
      </w:r>
    </w:p>
    <w:p>
      <w:pPr>
        <w:numPr>
          <w:ilvl w:val="0"/>
          <w:numId w:val="1005"/>
        </w:numPr>
        <w:pStyle w:val="Compact"/>
      </w:pPr>
      <w:r>
        <w:t xml:space="preserve">Axe 2 : Pour un aménagement et un développement durable du Chalonnais</w:t>
      </w:r>
    </w:p>
    <w:p>
      <w:pPr>
        <w:numPr>
          <w:ilvl w:val="0"/>
          <w:numId w:val="1005"/>
        </w:numPr>
        <w:pStyle w:val="Compact"/>
      </w:pPr>
      <w:r>
        <w:t xml:space="preserve">Axe 3 : Pour un territoire solidaire, inclusif et attractif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Nom: SM du Chalonnais, nature: SMF, SIREN: 200033553</w:t>
      </w:r>
    </w:p>
    <w:p>
      <w:pPr>
        <w:pStyle w:val="FirstParagraph"/>
      </w:pPr>
      <w:r>
        <w:t xml:space="preserve">Liste des instances de partenariat mobilisées ou créées : Conseil de développement et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via le Conseil de développement</w:t>
      </w:r>
    </w:p>
    <w:p>
      <w:pPr>
        <w:pStyle w:val="TextBody"/>
      </w:pPr>
      <w:r>
        <w:t xml:space="preserve">Démarches de co-construction du CRTE : Concertation élus/techniciens et Présentation et validation par le Conseil de développement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ingénierie mobilisée en interne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