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région de Guebwiller</w:t>
      </w:r>
    </w:p>
    <w:p>
      <w:pPr>
        <w:pStyle w:val="TextBody"/>
      </w:pPr>
      <w:r>
        <w:t xml:space="preserve">Si protocole de préfiguration : date de signature : 28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Région de Guebwiller, nature: CC, SIREN: 246800569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Affirmer la position stratégique du territoire et renforcer les équipements, les mobilités et l’habitat</w:t>
      </w:r>
    </w:p>
    <w:p>
      <w:pPr>
        <w:numPr>
          <w:ilvl w:val="0"/>
          <w:numId w:val="1005"/>
        </w:numPr>
        <w:pStyle w:val="Compact"/>
      </w:pPr>
      <w:r>
        <w:t xml:space="preserve">S’appuyer sur les atouts du territoire pour dynamiser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Accompagner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TextBody"/>
      </w:pPr>
      <w:r>
        <w:t xml:space="preserve">Nombre de fiches projet (opération à travailler) : 31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Nom: CC de la Région de Guebwiller, nature: CC, SIREN: 246800569</w:t>
      </w:r>
    </w:p>
    <w:p>
      <w:pPr>
        <w:pStyle w:val="FirstParagraph"/>
      </w:pPr>
      <w:r>
        <w:t xml:space="preserve">Liste des instances de partenariat mobilisées ou créées : Comité de pacte intégrateur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