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jean-philippe.strebler@ville-selestat.fr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Sélestat-Alsace centrale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PETR Sélestat - Alsace Centrale, nature: PETR, SIREN: 200069680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Pacte territorial de développement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4"/>
        </w:numPr>
        <w:pStyle w:val="Compact"/>
      </w:pPr>
      <w:r>
        <w:t xml:space="preserve">Nom: PETR Sélestat - Alsace Centrale, nature: PETR, SIREN: 200069680</w:t>
      </w:r>
    </w:p>
    <w:p>
      <w:pPr>
        <w:numPr>
          <w:ilvl w:val="0"/>
          <w:numId w:val="1004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2022-05-06T15:23:03Z</dcterms:created>
  <dcterms:modified xsi:type="dcterms:W3CDTF">2022-05-06T15:23:03Z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