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pref-coordination@bas-rhin.gouv.fr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Eurométropole de Strasbourg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Eurométropole de Strasbourg, nature: METRO, SIREN: 246700488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triennal 2021-2023</w:t>
      </w:r>
    </w:p>
    <w:p>
      <w:pPr>
        <w:numPr>
          <w:ilvl w:val="0"/>
          <w:numId w:val="1003"/>
        </w:numPr>
        <w:pStyle w:val="Compact"/>
      </w:pPr>
      <w:r>
        <w:t xml:space="preserve">Contrat triennal 2015-2017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 compétences sociales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d’accès à l’emploi 2020-2022</w:t>
      </w:r>
    </w:p>
    <w:p>
      <w:pPr>
        <w:numPr>
          <w:ilvl w:val="0"/>
          <w:numId w:val="1003"/>
        </w:numPr>
        <w:pStyle w:val="Compact"/>
      </w:pPr>
      <w:r>
        <w:t xml:space="preserve">Contrat territorial d’accueil et d’intégration des réfugiés Territoire de Strasbourg 2020-2021</w:t>
      </w:r>
    </w:p>
    <w:p>
      <w:pPr>
        <w:numPr>
          <w:ilvl w:val="0"/>
          <w:numId w:val="1003"/>
        </w:numPr>
        <w:pStyle w:val="Compact"/>
      </w:pPr>
      <w:r>
        <w:t xml:space="preserve">Convention relative au financement des projets du CCAS de la ville de Strasbourg retenus dans le cadre de l’AMI</w:t>
      </w:r>
      <w:r>
        <w:t xml:space="preserve"> </w:t>
      </w:r>
      <w:r>
        <w:t xml:space="preserve">“</w:t>
      </w:r>
      <w:r>
        <w:t xml:space="preserve">Territoires de mise enoeuvre accélérée du plan logement d’abord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Convention santé scolaire</w:t>
      </w:r>
    </w:p>
    <w:p>
      <w:pPr>
        <w:numPr>
          <w:ilvl w:val="0"/>
          <w:numId w:val="1003"/>
        </w:numPr>
        <w:pStyle w:val="Compact"/>
      </w:pPr>
      <w:r>
        <w:t xml:space="preserve">Convention CLIC (Centre local d’information et de coordination)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financement annuelle du projet de réussite éducative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l’éducation artistique et culturelle 2016-2018</w:t>
      </w:r>
    </w:p>
    <w:p>
      <w:pPr>
        <w:numPr>
          <w:ilvl w:val="0"/>
          <w:numId w:val="1003"/>
        </w:numPr>
        <w:pStyle w:val="Compact"/>
      </w:pPr>
      <w:r>
        <w:t xml:space="preserve">Conseil intercommunal de sécurité et prévention de la délinquance et de la radicalisation</w:t>
      </w:r>
    </w:p>
    <w:p>
      <w:pPr>
        <w:numPr>
          <w:ilvl w:val="0"/>
          <w:numId w:val="1003"/>
        </w:numPr>
        <w:pStyle w:val="Compact"/>
      </w:pPr>
      <w:r>
        <w:t xml:space="preserve">Plan régional santé environnement Grand Est</w:t>
      </w:r>
    </w:p>
    <w:p>
      <w:pPr>
        <w:numPr>
          <w:ilvl w:val="0"/>
          <w:numId w:val="1003"/>
        </w:numPr>
        <w:pStyle w:val="Compact"/>
      </w:pPr>
      <w:r>
        <w:t xml:space="preserve">Contrat territorial global</w:t>
      </w:r>
      <w:r>
        <w:t xml:space="preserve"> </w:t>
      </w:r>
      <w:r>
        <w:t xml:space="preserve">“</w:t>
      </w:r>
      <w:r>
        <w:t xml:space="preserve">Contrat enfance jeunesse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Prestation de service unique</w:t>
      </w:r>
    </w:p>
    <w:p>
      <w:pPr>
        <w:numPr>
          <w:ilvl w:val="0"/>
          <w:numId w:val="1003"/>
        </w:numPr>
        <w:pStyle w:val="Compact"/>
      </w:pPr>
      <w:r>
        <w:t xml:space="preserve">Climaxion</w:t>
      </w:r>
    </w:p>
    <w:p>
      <w:pPr>
        <w:numPr>
          <w:ilvl w:val="0"/>
          <w:numId w:val="1003"/>
        </w:numPr>
        <w:pStyle w:val="Compact"/>
      </w:pPr>
      <w:r>
        <w:t xml:space="preserve">Plan climat 2030</w:t>
      </w:r>
    </w:p>
    <w:p>
      <w:pPr>
        <w:numPr>
          <w:ilvl w:val="0"/>
          <w:numId w:val="1003"/>
        </w:numPr>
        <w:pStyle w:val="Compact"/>
      </w:pPr>
      <w:r>
        <w:t xml:space="preserve">CTEC 2021-2023 (Agence de l’eau Rhin Meuse)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de la ligne tran D vers Kehl en Allemagne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Tram D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Tram Koenigshoffen 1ère phase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actives continuités cyclables 2019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actrives continuités cyclables 2020</w:t>
      </w:r>
    </w:p>
    <w:p>
      <w:pPr>
        <w:numPr>
          <w:ilvl w:val="0"/>
          <w:numId w:val="1003"/>
        </w:numPr>
        <w:pStyle w:val="Compact"/>
      </w:pPr>
      <w:r>
        <w:t xml:space="preserve">CPER 2015-2020 Amélioration de l’accessibilité routière du Port autonome</w:t>
      </w:r>
    </w:p>
    <w:p>
      <w:pPr>
        <w:numPr>
          <w:ilvl w:val="0"/>
          <w:numId w:val="1003"/>
        </w:numPr>
        <w:pStyle w:val="Compact"/>
      </w:pPr>
      <w:r>
        <w:t xml:space="preserve">CPER 2015-2020 A35 construction de lurs antibruit</w:t>
      </w:r>
    </w:p>
    <w:p>
      <w:pPr>
        <w:numPr>
          <w:ilvl w:val="0"/>
          <w:numId w:val="1003"/>
        </w:numPr>
        <w:pStyle w:val="Compact"/>
      </w:pPr>
      <w:r>
        <w:t xml:space="preserve">CPER 2015-2020 Requalification A35</w:t>
      </w:r>
    </w:p>
    <w:p>
      <w:pPr>
        <w:numPr>
          <w:ilvl w:val="0"/>
          <w:numId w:val="1003"/>
        </w:numPr>
        <w:pStyle w:val="Compact"/>
      </w:pPr>
      <w:r>
        <w:t xml:space="preserve">CPER 2015-2020 2nde phase Rocade sud de Strasbourg</w:t>
      </w:r>
    </w:p>
    <w:p>
      <w:pPr>
        <w:numPr>
          <w:ilvl w:val="0"/>
          <w:numId w:val="1003"/>
        </w:numPr>
        <w:pStyle w:val="Compact"/>
      </w:pPr>
      <w:r>
        <w:t xml:space="preserve">CPER 2015-2020 TSPO</w:t>
      </w:r>
    </w:p>
    <w:p>
      <w:pPr>
        <w:numPr>
          <w:ilvl w:val="0"/>
          <w:numId w:val="1003"/>
        </w:numPr>
        <w:pStyle w:val="Compact"/>
      </w:pPr>
      <w:r>
        <w:t xml:space="preserve">CPER 2015-2020 A35-36 Régulation dynamique du trafic</w:t>
      </w:r>
    </w:p>
    <w:p>
      <w:pPr>
        <w:numPr>
          <w:ilvl w:val="0"/>
          <w:numId w:val="1003"/>
        </w:numPr>
        <w:pStyle w:val="Compact"/>
      </w:pPr>
      <w:r>
        <w:t xml:space="preserve">Contrat départemental 2019-2022</w:t>
      </w:r>
    </w:p>
    <w:p>
      <w:pPr>
        <w:numPr>
          <w:ilvl w:val="0"/>
          <w:numId w:val="1003"/>
        </w:numPr>
        <w:pStyle w:val="Compact"/>
      </w:pPr>
      <w:r>
        <w:t xml:space="preserve">Convention partenariale ADEME/EMS</w:t>
      </w:r>
    </w:p>
    <w:p>
      <w:pPr>
        <w:numPr>
          <w:ilvl w:val="0"/>
          <w:numId w:val="1003"/>
        </w:numPr>
        <w:pStyle w:val="Compact"/>
      </w:pPr>
      <w:r>
        <w:t xml:space="preserve">Contrat de ville de l’EMS 2015-2022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urbain(2019-2030)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des aides à la pierre de l’Etat</w:t>
      </w:r>
    </w:p>
    <w:p>
      <w:pPr>
        <w:numPr>
          <w:ilvl w:val="0"/>
          <w:numId w:val="1003"/>
        </w:numPr>
        <w:pStyle w:val="Compact"/>
      </w:pPr>
      <w:r>
        <w:t xml:space="preserve">Convention POPAC</w:t>
      </w:r>
    </w:p>
    <w:p>
      <w:pPr>
        <w:numPr>
          <w:ilvl w:val="0"/>
          <w:numId w:val="1003"/>
        </w:numPr>
        <w:pStyle w:val="Compact"/>
      </w:pPr>
      <w:r>
        <w:t xml:space="preserve">Convention PIG</w:t>
      </w:r>
    </w:p>
    <w:p>
      <w:pPr>
        <w:numPr>
          <w:ilvl w:val="0"/>
          <w:numId w:val="1003"/>
        </w:numPr>
        <w:pStyle w:val="Compact"/>
      </w:pPr>
      <w:r>
        <w:t xml:space="preserve">Convention OPAH copropriétés dégradées</w:t>
      </w:r>
    </w:p>
    <w:p>
      <w:pPr>
        <w:numPr>
          <w:ilvl w:val="0"/>
          <w:numId w:val="1003"/>
        </w:numPr>
        <w:pStyle w:val="Compact"/>
      </w:pPr>
      <w:r>
        <w:t xml:space="preserve">Convention d’étude pré-opérationnelle OPAH-RU</w:t>
      </w:r>
    </w:p>
    <w:p>
      <w:pPr>
        <w:numPr>
          <w:ilvl w:val="0"/>
          <w:numId w:val="1003"/>
        </w:numPr>
        <w:pStyle w:val="Compact"/>
      </w:pPr>
      <w:r>
        <w:t xml:space="preserve">Partenariat avec la profession agricole</w:t>
      </w:r>
    </w:p>
    <w:p>
      <w:pPr>
        <w:numPr>
          <w:ilvl w:val="0"/>
          <w:numId w:val="1003"/>
        </w:numPr>
        <w:pStyle w:val="Compact"/>
      </w:pPr>
      <w:r>
        <w:t xml:space="preserve">Plan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Pacte économie locale durable</w:t>
      </w:r>
    </w:p>
    <w:p>
      <w:pPr>
        <w:numPr>
          <w:ilvl w:val="0"/>
          <w:numId w:val="1003"/>
        </w:numPr>
        <w:pStyle w:val="Compact"/>
      </w:pPr>
      <w:r>
        <w:t xml:space="preserve">Contrat de dévelopement Port autonome de Strasbourg</w:t>
      </w:r>
    </w:p>
    <w:p>
      <w:pPr>
        <w:numPr>
          <w:ilvl w:val="0"/>
          <w:numId w:val="1003"/>
        </w:numPr>
        <w:pStyle w:val="Compact"/>
      </w:pPr>
      <w:r>
        <w:t xml:space="preserve">convention relative aux mesures judiciaires d’investigation éducative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Fabrique prospective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relance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Agenda national pour le climat</w:t>
      </w:r>
    </w:p>
    <w:p>
      <w:pPr>
        <w:numPr>
          <w:ilvl w:val="0"/>
          <w:numId w:val="1004"/>
        </w:numPr>
        <w:pStyle w:val="Compact"/>
      </w:pPr>
      <w:r>
        <w:t xml:space="preserve">Stratégie pauvreté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ou son représentant</w:t>
      </w:r>
    </w:p>
    <w:p>
      <w:pPr>
        <w:numPr>
          <w:ilvl w:val="0"/>
          <w:numId w:val="1007"/>
        </w:numPr>
        <w:pStyle w:val="Compact"/>
      </w:pPr>
      <w:r>
        <w:t xml:space="preserve">Président ou son représentant et/ou le Conseiller d’Alsace du territoire</w:t>
      </w:r>
    </w:p>
    <w:p>
      <w:pPr>
        <w:numPr>
          <w:ilvl w:val="0"/>
          <w:numId w:val="1007"/>
        </w:numPr>
        <w:pStyle w:val="Compact"/>
      </w:pPr>
      <w:r>
        <w:t xml:space="preserve">Nom: Eurométropole de Strasbourg, nature: METRO, SIREN: 246700488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UNISTRA, SNCF, Port autonome de Strasbourg, Eurodistrict Strasbourg-Ortenau, Ville de Kehl, Institutions européennes, Aéroport de Strasbourg-Entzheim, Bailleurs sociaux, CTS, ANAH, CCI, Banque des territoires, INSA, CROUS, Chambre d’agriculture, et Chambre des métiers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