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pref-actions-etat@pyrenees-orientales.gouv.fr</w:t>
      </w:r>
    </w:p>
    <w:p>
      <w:pPr>
        <w:pStyle w:val="TextBody"/>
      </w:pPr>
      <w:r>
        <w:t xml:space="preserve">Date de signature du CRTE : 23 décembre 2021</w:t>
      </w:r>
    </w:p>
    <w:p>
      <w:pPr>
        <w:pStyle w:val="TextBody"/>
      </w:pPr>
      <w:r>
        <w:t xml:space="preserve">Nature juridique de la structure porteuse : Communauté urbaine</w:t>
      </w:r>
    </w:p>
    <w:p>
      <w:pPr>
        <w:pStyle w:val="TextBody"/>
      </w:pPr>
      <w:r>
        <w:t xml:space="preserve">Nom de la structure porteuse : Perpignan Mediterranée Métropole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Nom: CU Perpignan Méditerranée Métropole, nature: CU, SIREN: 200027183</w:t>
      </w:r>
    </w:p>
    <w:p>
      <w:pPr>
        <w:numPr>
          <w:ilvl w:val="0"/>
          <w:numId w:val="1001"/>
        </w:numPr>
        <w:pStyle w:val="Compact"/>
      </w:pPr>
      <w:r>
        <w:t xml:space="preserve">Nom: Pyrénées-Orientales, nature: departement, SIREN: 66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SDDASAP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Plan partenarial d’aménagement</w:t>
      </w:r>
    </w:p>
    <w:p>
      <w:pPr>
        <w:numPr>
          <w:ilvl w:val="0"/>
          <w:numId w:val="1003"/>
        </w:numPr>
        <w:pStyle w:val="Compact"/>
      </w:pPr>
      <w:r>
        <w:t xml:space="preserve">Plan Littoral 21</w:t>
      </w:r>
    </w:p>
    <w:p>
      <w:pPr>
        <w:numPr>
          <w:ilvl w:val="0"/>
          <w:numId w:val="1003"/>
        </w:numPr>
        <w:pStyle w:val="Compact"/>
      </w:pPr>
      <w:r>
        <w:t xml:space="preserve">Contrat Territoire Occitanie</w:t>
      </w:r>
    </w:p>
    <w:p>
      <w:pPr>
        <w:numPr>
          <w:ilvl w:val="0"/>
          <w:numId w:val="1003"/>
        </w:numPr>
        <w:pStyle w:val="Compact"/>
      </w:pPr>
      <w:r>
        <w:t xml:space="preserve">Bourg Centre</w:t>
      </w:r>
    </w:p>
    <w:p>
      <w:pPr>
        <w:numPr>
          <w:ilvl w:val="0"/>
          <w:numId w:val="1003"/>
        </w:numPr>
        <w:pStyle w:val="Compact"/>
      </w:pPr>
      <w:r>
        <w:t xml:space="preserve">Grans Sud Occitanie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Pilier 1 : CONNECTIVITE ET DESENCLAVEMENT DU TERRITOIRE</w:t>
      </w:r>
    </w:p>
    <w:p>
      <w:pPr>
        <w:numPr>
          <w:ilvl w:val="0"/>
          <w:numId w:val="1005"/>
        </w:numPr>
        <w:pStyle w:val="Compact"/>
      </w:pPr>
      <w:r>
        <w:t xml:space="preserve">Orientation stratégique 1.I : Désenclaver et mailler</w:t>
      </w:r>
    </w:p>
    <w:p>
      <w:pPr>
        <w:numPr>
          <w:ilvl w:val="0"/>
          <w:numId w:val="1005"/>
        </w:numPr>
        <w:pStyle w:val="Compact"/>
      </w:pPr>
      <w:r>
        <w:t xml:space="preserve">Orientation stratégique 1.II : Bâtir de véritables réseaux d’ailliances</w:t>
      </w:r>
    </w:p>
    <w:p>
      <w:pPr>
        <w:numPr>
          <w:ilvl w:val="0"/>
          <w:numId w:val="1005"/>
        </w:numPr>
        <w:pStyle w:val="Compact"/>
      </w:pPr>
      <w:r>
        <w:t xml:space="preserve">Orientation stratégique 1.III : Favoriser le développement de territoires de projets moteurs</w:t>
      </w:r>
    </w:p>
    <w:p>
      <w:pPr>
        <w:numPr>
          <w:ilvl w:val="0"/>
          <w:numId w:val="1005"/>
        </w:numPr>
        <w:pStyle w:val="Compact"/>
      </w:pPr>
      <w:r>
        <w:t xml:space="preserve">Orientation stratégique 1.IV : Renforcer la transformation numérique</w:t>
      </w:r>
    </w:p>
    <w:p>
      <w:pPr>
        <w:numPr>
          <w:ilvl w:val="0"/>
          <w:numId w:val="1005"/>
        </w:numPr>
        <w:pStyle w:val="Compact"/>
      </w:pPr>
      <w:r>
        <w:t xml:space="preserve">Pilier 2 : RELANCE ET DEVELOPPEMENT ECONOMIQUE DE NOTRE TERRITOIRE</w:t>
      </w:r>
    </w:p>
    <w:p>
      <w:pPr>
        <w:numPr>
          <w:ilvl w:val="0"/>
          <w:numId w:val="1005"/>
        </w:numPr>
        <w:pStyle w:val="Compact"/>
      </w:pPr>
      <w:r>
        <w:t xml:space="preserve">Orientation stratégique 2.V : Soutenir et favoriser une économie créatrice d’emploi tout en maîtrisant le foncier</w:t>
      </w:r>
    </w:p>
    <w:p>
      <w:pPr>
        <w:numPr>
          <w:ilvl w:val="0"/>
          <w:numId w:val="1005"/>
        </w:numPr>
        <w:pStyle w:val="Compact"/>
      </w:pPr>
      <w:r>
        <w:t xml:space="preserve">Orientation stratégique 2.VI : Penser notre territoire comme un grand campus d’excellence</w:t>
      </w:r>
    </w:p>
    <w:p>
      <w:pPr>
        <w:numPr>
          <w:ilvl w:val="0"/>
          <w:numId w:val="1005"/>
        </w:numPr>
        <w:pStyle w:val="Compact"/>
      </w:pPr>
      <w:r>
        <w:t xml:space="preserve">Pilier 3 : TRANSITION ECOLOGIQUE ET ENERGETIQUE</w:t>
      </w:r>
    </w:p>
    <w:p>
      <w:pPr>
        <w:numPr>
          <w:ilvl w:val="0"/>
          <w:numId w:val="1005"/>
        </w:numPr>
        <w:pStyle w:val="Compact"/>
      </w:pPr>
      <w:r>
        <w:t xml:space="preserve">Orientation stratégique 3.VII : Devenir un territoire à énergie positive, à la pointe des ENR</w:t>
      </w:r>
    </w:p>
    <w:p>
      <w:pPr>
        <w:numPr>
          <w:ilvl w:val="0"/>
          <w:numId w:val="1005"/>
        </w:numPr>
        <w:pStyle w:val="Compact"/>
      </w:pPr>
      <w:r>
        <w:t xml:space="preserve">Orientation stratégique 3.VIII : Rester un territoire attractif et devenir un territoire résilient</w:t>
      </w:r>
    </w:p>
    <w:p>
      <w:pPr>
        <w:numPr>
          <w:ilvl w:val="0"/>
          <w:numId w:val="1005"/>
        </w:numPr>
        <w:pStyle w:val="Compact"/>
      </w:pPr>
      <w:r>
        <w:t xml:space="preserve">Orientation stratégique 3.IX : Préserver et valoriser la biodiversité, les richesses patrimoniales, paysagères, naturelles et notre cadre de vie</w:t>
      </w:r>
    </w:p>
    <w:p>
      <w:pPr>
        <w:numPr>
          <w:ilvl w:val="0"/>
          <w:numId w:val="1005"/>
        </w:numPr>
        <w:pStyle w:val="Compact"/>
      </w:pPr>
      <w:r>
        <w:t xml:space="preserve">Orientation stratégique 3.X : Relever les défis de l’économie sociale et solidaire et de l’économie circulaire</w:t>
      </w:r>
    </w:p>
    <w:p>
      <w:pPr>
        <w:numPr>
          <w:ilvl w:val="0"/>
          <w:numId w:val="1005"/>
        </w:numPr>
        <w:pStyle w:val="Compact"/>
      </w:pPr>
      <w:r>
        <w:t xml:space="preserve">Orientation stratégique 3.XI : Préserver et valoriser la ressource agricole et dynamiser sa transition</w:t>
      </w:r>
    </w:p>
    <w:p>
      <w:pPr>
        <w:numPr>
          <w:ilvl w:val="0"/>
          <w:numId w:val="1005"/>
        </w:numPr>
        <w:pStyle w:val="Compact"/>
      </w:pPr>
      <w:r>
        <w:t xml:space="preserve">Pilier 4 : COHESION SOCIALE ET TERRITORIALE</w:t>
      </w:r>
    </w:p>
    <w:p>
      <w:pPr>
        <w:numPr>
          <w:ilvl w:val="0"/>
          <w:numId w:val="1005"/>
        </w:numPr>
        <w:pStyle w:val="Compact"/>
      </w:pPr>
      <w:r>
        <w:t xml:space="preserve">Orientation stratégique 4.XII : Accompagner le développement cohérent et équilibré du territoire</w:t>
      </w:r>
    </w:p>
    <w:p>
      <w:pPr>
        <w:numPr>
          <w:ilvl w:val="0"/>
          <w:numId w:val="1005"/>
        </w:numPr>
        <w:pStyle w:val="Compact"/>
      </w:pPr>
      <w:r>
        <w:t xml:space="preserve">Orientation stratégique 4.XIII : Recalibrer et dynamiser une offre territoriale innovante basée sur la qualité urbaine et nos vitrines territoriales</w:t>
      </w:r>
    </w:p>
    <w:p>
      <w:pPr>
        <w:numPr>
          <w:ilvl w:val="0"/>
          <w:numId w:val="1005"/>
        </w:numPr>
        <w:pStyle w:val="Compact"/>
      </w:pPr>
      <w:r>
        <w:t xml:space="preserve">Orientation stratégique 4.XIV : Révéler et partager nos richesses particulières pour faire rayonner le Roussillon</w:t>
      </w:r>
    </w:p>
    <w:p>
      <w:pPr>
        <w:numPr>
          <w:ilvl w:val="0"/>
          <w:numId w:val="1005"/>
        </w:numPr>
        <w:pStyle w:val="Compact"/>
      </w:pPr>
      <w:r>
        <w:t xml:space="preserve">Orientation stratégique 4.XV : Favoriser la cohésion sociale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des Pyrénées-Orientales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Région</w:t>
      </w:r>
    </w:p>
    <w:p>
      <w:pPr>
        <w:numPr>
          <w:ilvl w:val="0"/>
          <w:numId w:val="1007"/>
        </w:numPr>
        <w:pStyle w:val="Compact"/>
      </w:pPr>
      <w:r>
        <w:t xml:space="preserve">Nom: CU Perpignan Méditerranée Métropole, nature: CU, SIREN: 200027183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Nom: Pyrénées-Orientales, nature: departement, SIREN: 66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Consultation publique/citoyenne, Ateliers, Concertation élus/techniciens, Questionnaires / enquête numérique, Forums/conférences, et Conseil de développement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8"/>
        </w:numPr>
        <w:pStyle w:val="Compact"/>
      </w:pPr>
      <w:r>
        <w:t xml:space="preserve">Agence d’urbanisme</w:t>
      </w:r>
    </w:p>
    <w:p>
      <w:pPr>
        <w:numPr>
          <w:ilvl w:val="0"/>
          <w:numId w:val="1008"/>
        </w:numPr>
        <w:pStyle w:val="Compact"/>
      </w:pPr>
      <w:r>
        <w:t xml:space="preserve">Agence technique départementale</w:t>
      </w:r>
    </w:p>
    <w:p>
      <w:pPr>
        <w:numPr>
          <w:ilvl w:val="0"/>
          <w:numId w:val="1008"/>
        </w:numPr>
        <w:pStyle w:val="Compact"/>
      </w:pPr>
      <w:r>
        <w:t xml:space="preserve">CAUE</w:t>
      </w:r>
    </w:p>
    <w:p>
      <w:pPr>
        <w:numPr>
          <w:ilvl w:val="0"/>
          <w:numId w:val="1008"/>
        </w:numPr>
        <w:pStyle w:val="Compact"/>
      </w:pPr>
      <w:r>
        <w:t xml:space="preserve">Centre permanent d’initiatives pour l’environnement (CPIE)</w:t>
      </w:r>
    </w:p>
    <w:p>
      <w:pPr>
        <w:pStyle w:val="FirstParagraph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2.19M€</w:t>
      </w:r>
    </w:p>
    <w:p>
      <w:pPr>
        <w:pStyle w:val="TextBody"/>
      </w:pPr>
      <w:r>
        <w:t xml:space="preserve">Montant total prévisionnel en euros des actions en dépenses d’investissement : 378.03M€</w:t>
      </w:r>
    </w:p>
    <w:p>
      <w:pPr>
        <w:pStyle w:val="TextBody"/>
      </w:pPr>
      <w:r>
        <w:t xml:space="preserve">Montant total en euros des engagements financiers des collectivités locales et leurs établissements publics : 18.70M€</w:t>
      </w:r>
    </w:p>
    <w:p>
      <w:pPr>
        <w:pStyle w:val="TextBody"/>
      </w:pPr>
      <w:r>
        <w:t xml:space="preserve">Montant total en euros des engagements financiers de l’Etat et de ses opérateurs Plan de relance : 6.59M€</w:t>
      </w:r>
    </w:p>
    <w:p>
      <w:pPr>
        <w:pStyle w:val="TextBody"/>
      </w:pPr>
      <w:r>
        <w:t xml:space="preserve">Montant total en euros des engagements financiers de l’Etat et de ses opérateurs hors plan de relance : 5.48M€</w:t>
      </w:r>
    </w:p>
    <w:p>
      <w:pPr>
        <w:pStyle w:val="TextBody"/>
      </w:pPr>
      <w:r>
        <w:t xml:space="preserve">Montant total prévisionnel en euros des cofinancements européens : 3.36M€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2022-05-06T15:23:01Z</dcterms:created>
  <dcterms:modified xsi:type="dcterms:W3CDTF">2022-05-06T15:23:01Z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