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pascale.lasserre@hautes-pyrenees.gouv.fr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des Coteaux</w:t>
      </w:r>
    </w:p>
    <w:p>
      <w:pPr>
        <w:pStyle w:val="TextBody"/>
      </w:pPr>
      <w:r>
        <w:t xml:space="preserve">Si protocole de préfiguration : date de signature : 04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Pays des coteaux, nature: PETR, SIREN: 200059897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 1/ porter les transitions décarbonées 2/bien vivre sur le territoire et anticiper les modes de vie de chacun 3/renforcer et developper une attractivité respectueuse de l’evionnement 4/ créer une identité propre au pays des coteaux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prefet</w:t>
      </w:r>
    </w:p>
    <w:p>
      <w:pPr>
        <w:numPr>
          <w:ilvl w:val="0"/>
          <w:numId w:val="1005"/>
        </w:numPr>
        <w:pStyle w:val="Compact"/>
      </w:pPr>
      <w:r>
        <w:t xml:space="preserve">Nom: PETR du Pays des coteaux, nature: PETR, SIREN: 200059897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Nom: Hautes-Pyrénées, nature: departement, SIREN: 65</w:t>
      </w:r>
    </w:p>
    <w:p>
      <w:pPr>
        <w:numPr>
          <w:ilvl w:val="0"/>
          <w:numId w:val="1005"/>
        </w:numPr>
        <w:pStyle w:val="Compact"/>
      </w:pPr>
      <w:r>
        <w:t xml:space="preserve">Occitanie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agence de l’eau et caisse des dépots</w:t>
      </w:r>
    </w:p>
    <w:p>
      <w:pPr>
        <w:pStyle w:val="TextBody"/>
      </w:pPr>
      <w:r>
        <w:t xml:space="preserve">Démarches de co-construction du CRTE : Consultation publique/citoyenne, Ateliers, Concertation élus/techniciens, et Forums/conférences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2022-05-06T15:23:01Z</dcterms:created>
  <dcterms:modified xsi:type="dcterms:W3CDTF">2022-05-06T15:23:01Z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