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agnes.roger@puy-de-dome.gouv.fr</w:t>
      </w:r>
    </w:p>
    <w:p>
      <w:pPr>
        <w:pStyle w:val="TextBody"/>
      </w:pPr>
      <w:r>
        <w:t xml:space="preserve">Date de signature du CRTE : 08 juillet 2022</w:t>
      </w:r>
    </w:p>
    <w:p>
      <w:pPr>
        <w:pStyle w:val="TextBody"/>
      </w:pPr>
      <w:r>
        <w:t xml:space="preserve">Nature juridique de la structure porteuse : Métropole</w:t>
      </w:r>
    </w:p>
    <w:p>
      <w:pPr>
        <w:pStyle w:val="TextBody"/>
      </w:pPr>
      <w:r>
        <w:t xml:space="preserve">Nom de la structure porteuse : Clermont Auvergne Métropole</w:t>
      </w:r>
    </w:p>
    <w:p>
      <w:pPr>
        <w:pStyle w:val="TextBody"/>
      </w:pPr>
      <w:r>
        <w:t xml:space="preserve">Si protocole de préfiguration : date de signature :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Nom: Clermont Auvergne Métropole, nature: METRO, SIREN: 246300701</w:t>
      </w:r>
    </w:p>
    <w:p>
      <w:pPr>
        <w:numPr>
          <w:ilvl w:val="0"/>
          <w:numId w:val="1001"/>
        </w:numPr>
        <w:pStyle w:val="Compact"/>
      </w:pPr>
      <w:r>
        <w:t xml:space="preserve">Préfet du Puy-de-Dôme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pStyle w:val="TextBody"/>
      </w:pPr>
      <w:r>
        <w:t xml:space="preserve">Liste des contrats figurant dans le CRTE :</w:t>
      </w:r>
    </w:p>
    <w:p>
      <w:pPr>
        <w:numPr>
          <w:ilvl w:val="0"/>
          <w:numId w:val="1002"/>
        </w:numPr>
        <w:pStyle w:val="Compact"/>
      </w:pPr>
      <w:r>
        <w:t xml:space="preserve">Contrat de ville</w:t>
      </w:r>
    </w:p>
    <w:p>
      <w:pPr>
        <w:numPr>
          <w:ilvl w:val="0"/>
          <w:numId w:val="1002"/>
        </w:numPr>
        <w:pStyle w:val="Compact"/>
      </w:pPr>
      <w:r>
        <w:t xml:space="preserve">Contrat objectif territorial ADEME</w:t>
      </w:r>
    </w:p>
    <w:p>
      <w:pPr>
        <w:numPr>
          <w:ilvl w:val="0"/>
          <w:numId w:val="1002"/>
        </w:numPr>
        <w:pStyle w:val="Compact"/>
      </w:pPr>
      <w:r>
        <w:t xml:space="preserve">Nouveau programme de renouvellement urbain 2014-2024 avec l’ANRU</w:t>
      </w:r>
    </w:p>
    <w:p>
      <w:pPr>
        <w:numPr>
          <w:ilvl w:val="0"/>
          <w:numId w:val="1002"/>
        </w:numPr>
        <w:pStyle w:val="Compact"/>
      </w:pPr>
      <w:r>
        <w:t xml:space="preserve">Convention de délégation des aides à la pierre</w:t>
      </w:r>
    </w:p>
    <w:p>
      <w:pPr>
        <w:numPr>
          <w:ilvl w:val="0"/>
          <w:numId w:val="1002"/>
        </w:numPr>
        <w:pStyle w:val="Compact"/>
      </w:pPr>
      <w:r>
        <w:t xml:space="preserve">Convention de PIG avec la Préfet en tant que délégué territorial de l’ANAH</w:t>
      </w:r>
    </w:p>
    <w:p>
      <w:pPr>
        <w:numPr>
          <w:ilvl w:val="0"/>
          <w:numId w:val="1002"/>
        </w:numPr>
        <w:pStyle w:val="Compact"/>
      </w:pPr>
      <w:r>
        <w:t xml:space="preserve">Contrat d’objectif territorial "Chaleur renouvelable avec l’ADEME</w:t>
      </w:r>
    </w:p>
    <w:p>
      <w:pPr>
        <w:numPr>
          <w:ilvl w:val="0"/>
          <w:numId w:val="1002"/>
        </w:numPr>
        <w:pStyle w:val="Compact"/>
      </w:pPr>
      <w:r>
        <w:t xml:space="preserve">Schéma de transition énergétique et écologique</w:t>
      </w:r>
    </w:p>
    <w:p>
      <w:pPr>
        <w:numPr>
          <w:ilvl w:val="0"/>
          <w:numId w:val="1002"/>
        </w:numPr>
        <w:pStyle w:val="Compact"/>
      </w:pPr>
      <w:r>
        <w:t xml:space="preserve">Contrat de programme d’actions de prévention des inondations</w:t>
      </w:r>
    </w:p>
    <w:p>
      <w:pPr>
        <w:numPr>
          <w:ilvl w:val="0"/>
          <w:numId w:val="1002"/>
        </w:numPr>
        <w:pStyle w:val="Compact"/>
      </w:pPr>
      <w:r>
        <w:t xml:space="preserve">Contrat territorial des rivières de la Métropole clermontoise avec l’agence de l’eau Loire-Bretagne</w:t>
      </w:r>
    </w:p>
    <w:p>
      <w:pPr>
        <w:numPr>
          <w:ilvl w:val="0"/>
          <w:numId w:val="1002"/>
        </w:numPr>
        <w:pStyle w:val="Compact"/>
      </w:pPr>
      <w:r>
        <w:t xml:space="preserve">Contrat territorial des 5 rivières avec l’agence de l’eau Loire-Bretagne</w:t>
      </w:r>
    </w:p>
    <w:p>
      <w:pPr>
        <w:numPr>
          <w:ilvl w:val="0"/>
          <w:numId w:val="1002"/>
        </w:numPr>
        <w:pStyle w:val="Compact"/>
      </w:pPr>
      <w:r>
        <w:t xml:space="preserve">Opération de revitalisation de territoire (ORT) en cours de finalisation</w:t>
      </w:r>
    </w:p>
    <w:p>
      <w:pPr>
        <w:numPr>
          <w:ilvl w:val="0"/>
          <w:numId w:val="1002"/>
        </w:numPr>
        <w:pStyle w:val="Compact"/>
      </w:pPr>
      <w:r>
        <w:t xml:space="preserve">Plan partenarial d’aménagement en cours d’élaboration sur le quartier Saint-Jean/Le Brézet</w:t>
      </w:r>
    </w:p>
    <w:p>
      <w:pPr>
        <w:numPr>
          <w:ilvl w:val="0"/>
          <w:numId w:val="1002"/>
        </w:numPr>
        <w:pStyle w:val="Compact"/>
      </w:pPr>
      <w:r>
        <w:t xml:space="preserve">Convention ANRU</w:t>
      </w:r>
    </w:p>
    <w:p>
      <w:pPr>
        <w:numPr>
          <w:ilvl w:val="0"/>
          <w:numId w:val="1002"/>
        </w:numPr>
        <w:pStyle w:val="Compact"/>
      </w:pPr>
      <w:r>
        <w:t xml:space="preserve">Contrat de plan Etat Région 2021-2027- volet territorial à venir</w:t>
      </w:r>
    </w:p>
    <w:p>
      <w:pPr>
        <w:numPr>
          <w:ilvl w:val="0"/>
          <w:numId w:val="1002"/>
        </w:numPr>
        <w:pStyle w:val="Compact"/>
      </w:pPr>
      <w:r>
        <w:t xml:space="preserve">A venir : contrat vert et bleu avec le Conseil régional</w:t>
      </w:r>
    </w:p>
    <w:p>
      <w:pPr>
        <w:numPr>
          <w:ilvl w:val="0"/>
          <w:numId w:val="1002"/>
        </w:numPr>
        <w:pStyle w:val="Compact"/>
      </w:pPr>
      <w:r>
        <w:t xml:space="preserve">A venir : contrat territorial de développement durable avec le CD 63</w:t>
      </w:r>
    </w:p>
    <w:p>
      <w:pPr>
        <w:numPr>
          <w:ilvl w:val="0"/>
          <w:numId w:val="1002"/>
        </w:numPr>
        <w:pStyle w:val="Compact"/>
      </w:pPr>
      <w:r>
        <w:t xml:space="preserve">en cours : convention Air avec l’ADEME</w:t>
      </w:r>
    </w:p>
    <w:p>
      <w:pPr>
        <w:numPr>
          <w:ilvl w:val="0"/>
          <w:numId w:val="1002"/>
        </w:numPr>
        <w:pStyle w:val="Compact"/>
      </w:pPr>
      <w:r>
        <w:t xml:space="preserve">A venir : contrat d’ingénierie agricole avec le CD63</w:t>
      </w:r>
    </w:p>
    <w:p>
      <w:pPr>
        <w:numPr>
          <w:ilvl w:val="0"/>
          <w:numId w:val="1002"/>
        </w:numPr>
        <w:pStyle w:val="Compact"/>
      </w:pPr>
      <w:r>
        <w:t xml:space="preserve">Convention Ville Pays d’art et d’histoire (VPAH)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3"/>
        </w:numPr>
        <w:pStyle w:val="Compact"/>
      </w:pPr>
      <w:r>
        <w:t xml:space="preserve">France services</w:t>
      </w:r>
    </w:p>
    <w:p>
      <w:pPr>
        <w:numPr>
          <w:ilvl w:val="0"/>
          <w:numId w:val="1003"/>
        </w:numPr>
        <w:pStyle w:val="Compact"/>
      </w:pPr>
      <w:r>
        <w:t xml:space="preserve">Cités éducatives</w:t>
      </w:r>
    </w:p>
    <w:p>
      <w:pPr>
        <w:numPr>
          <w:ilvl w:val="0"/>
          <w:numId w:val="1003"/>
        </w:numPr>
        <w:pStyle w:val="Compact"/>
      </w:pPr>
      <w:r>
        <w:t xml:space="preserve">Conseillers numériques France services</w:t>
      </w:r>
    </w:p>
    <w:p>
      <w:pPr>
        <w:numPr>
          <w:ilvl w:val="0"/>
          <w:numId w:val="1003"/>
        </w:numPr>
        <w:pStyle w:val="Compact"/>
      </w:pPr>
      <w:r>
        <w:t xml:space="preserve">Programme réussite éducative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4"/>
        </w:numPr>
        <w:pStyle w:val="Compact"/>
      </w:pPr>
      <w:r>
        <w:t xml:space="preserve">Axe 1. Métropole résiliente avec objectifs stratégiques Eau Air Sol Energie Climat</w:t>
      </w:r>
    </w:p>
    <w:p>
      <w:pPr>
        <w:numPr>
          <w:ilvl w:val="0"/>
          <w:numId w:val="1004"/>
        </w:numPr>
        <w:pStyle w:val="Compact"/>
      </w:pPr>
      <w:r>
        <w:t xml:space="preserve">Ambition : devenir un territoire à énergie positive (TEPos)</w:t>
      </w:r>
    </w:p>
    <w:p>
      <w:pPr>
        <w:numPr>
          <w:ilvl w:val="0"/>
          <w:numId w:val="1004"/>
        </w:numPr>
        <w:pStyle w:val="Compact"/>
      </w:pPr>
      <w:r>
        <w:t xml:space="preserve">Axe 2. Poursuite de son développement harmonieux</w:t>
      </w:r>
    </w:p>
    <w:p>
      <w:pPr>
        <w:numPr>
          <w:ilvl w:val="0"/>
          <w:numId w:val="1004"/>
        </w:numPr>
        <w:pStyle w:val="Compact"/>
      </w:pPr>
      <w:r>
        <w:t xml:space="preserve">Ambition culturelle forte</w:t>
      </w:r>
    </w:p>
    <w:p>
      <w:pPr>
        <w:numPr>
          <w:ilvl w:val="0"/>
          <w:numId w:val="1004"/>
        </w:numPr>
        <w:pStyle w:val="Compact"/>
      </w:pPr>
      <w:r>
        <w:t xml:space="preserve">Stratégie de développement économique offensive</w:t>
      </w:r>
    </w:p>
    <w:p>
      <w:pPr>
        <w:numPr>
          <w:ilvl w:val="0"/>
          <w:numId w:val="1004"/>
        </w:numPr>
        <w:pStyle w:val="Compact"/>
      </w:pPr>
      <w:r>
        <w:t xml:space="preserve">développement de l’attractivité spotive</w:t>
      </w:r>
    </w:p>
    <w:p>
      <w:pPr>
        <w:numPr>
          <w:ilvl w:val="0"/>
          <w:numId w:val="1004"/>
        </w:numPr>
        <w:pStyle w:val="Compact"/>
      </w:pPr>
      <w:r>
        <w:t xml:space="preserve">Renforcer les dynamiques touristiques</w:t>
      </w:r>
    </w:p>
    <w:p>
      <w:pPr>
        <w:numPr>
          <w:ilvl w:val="0"/>
          <w:numId w:val="1004"/>
        </w:numPr>
        <w:pStyle w:val="Compact"/>
      </w:pPr>
      <w:r>
        <w:t xml:space="preserve">Axe 3 : Réussite de la mutation urbaine</w:t>
      </w:r>
    </w:p>
    <w:p>
      <w:pPr>
        <w:numPr>
          <w:ilvl w:val="0"/>
          <w:numId w:val="1004"/>
        </w:numPr>
        <w:pStyle w:val="Compact"/>
      </w:pPr>
      <w:r>
        <w:t xml:space="preserve">Ambitieux programme de renouvellement urbain</w:t>
      </w:r>
    </w:p>
    <w:p>
      <w:pPr>
        <w:numPr>
          <w:ilvl w:val="0"/>
          <w:numId w:val="1004"/>
        </w:numPr>
        <w:pStyle w:val="Compact"/>
      </w:pPr>
      <w:r>
        <w:t xml:space="preserve">Vaste plan de requalification des espaces d’activités</w:t>
      </w:r>
    </w:p>
    <w:p>
      <w:pPr>
        <w:numPr>
          <w:ilvl w:val="0"/>
          <w:numId w:val="1004"/>
        </w:numPr>
        <w:pStyle w:val="Compact"/>
      </w:pPr>
      <w:r>
        <w:t xml:space="preserve">Restructuration des transports en commun</w:t>
      </w:r>
    </w:p>
    <w:p>
      <w:pPr>
        <w:numPr>
          <w:ilvl w:val="0"/>
          <w:numId w:val="1004"/>
        </w:numPr>
        <w:pStyle w:val="Compact"/>
      </w:pPr>
      <w:r>
        <w:t xml:space="preserve">Transition numérique</w:t>
      </w:r>
    </w:p>
    <w:p>
      <w:pPr>
        <w:numPr>
          <w:ilvl w:val="0"/>
          <w:numId w:val="1004"/>
        </w:numPr>
        <w:pStyle w:val="Compact"/>
      </w:pPr>
      <w:r>
        <w:t xml:space="preserve">Axe 4 : Capacité d’entraînement des territoires voisins</w:t>
      </w:r>
    </w:p>
    <w:p>
      <w:pPr>
        <w:numPr>
          <w:ilvl w:val="0"/>
          <w:numId w:val="1004"/>
        </w:numPr>
        <w:pStyle w:val="Compact"/>
      </w:pPr>
      <w:r>
        <w:t xml:space="preserve">S’affirmer en tant que pôle d’équilibre de l’Ouest de la région AURA</w:t>
      </w:r>
    </w:p>
    <w:p>
      <w:pPr>
        <w:numPr>
          <w:ilvl w:val="0"/>
          <w:numId w:val="1004"/>
        </w:numPr>
        <w:pStyle w:val="Compact"/>
      </w:pPr>
      <w:r>
        <w:t xml:space="preserve">Collaborer avec les territoires périphériques : PETR du Grand Clermont et pôle métropolitain Clermont Vichy Auvergne</w:t>
      </w:r>
    </w:p>
    <w:p>
      <w:pPr>
        <w:numPr>
          <w:ilvl w:val="0"/>
          <w:numId w:val="1004"/>
        </w:numPr>
        <w:pStyle w:val="Compact"/>
      </w:pPr>
      <w:r>
        <w:t xml:space="preserve">Conforter le partenariat avec le PNR des Volcans d’Auvergne</w:t>
      </w:r>
    </w:p>
    <w:p>
      <w:pPr>
        <w:numPr>
          <w:ilvl w:val="0"/>
          <w:numId w:val="1004"/>
        </w:numPr>
        <w:pStyle w:val="Compact"/>
      </w:pPr>
      <w:r>
        <w:t xml:space="preserve">contrats de réciprocité avec Saint-Flour Communauté et le PNR Livradois-Forez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TextBody"/>
      </w:pPr>
      <w:r>
        <w:t xml:space="preserve">Mise à jour du projet de territoire avec l’élaboration du CRTE : Non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5"/>
        </w:numPr>
        <w:pStyle w:val="Compact"/>
      </w:pPr>
      <w:r>
        <w:t xml:space="preserve">Circuits courts agricoles</w:t>
      </w:r>
    </w:p>
    <w:p>
      <w:pPr>
        <w:numPr>
          <w:ilvl w:val="0"/>
          <w:numId w:val="1005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5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5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5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5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5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5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5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5"/>
        </w:numPr>
        <w:pStyle w:val="Compact"/>
      </w:pPr>
      <w:r>
        <w:t xml:space="preserve">Ecologie industrielle et économie collaborative</w:t>
      </w:r>
    </w:p>
    <w:p>
      <w:pPr>
        <w:numPr>
          <w:ilvl w:val="0"/>
          <w:numId w:val="1005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5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5"/>
        </w:numPr>
        <w:pStyle w:val="Compact"/>
      </w:pPr>
      <w:r>
        <w:t xml:space="preserve">Emploi et Insertion</w:t>
      </w:r>
    </w:p>
    <w:p>
      <w:pPr>
        <w:numPr>
          <w:ilvl w:val="0"/>
          <w:numId w:val="1005"/>
        </w:numPr>
        <w:pStyle w:val="Compact"/>
      </w:pPr>
      <w:r>
        <w:t xml:space="preserve">Soutien aux filières innovantes et de R&amp;D</w:t>
      </w:r>
    </w:p>
    <w:p>
      <w:pPr>
        <w:numPr>
          <w:ilvl w:val="0"/>
          <w:numId w:val="1005"/>
        </w:numPr>
        <w:pStyle w:val="Compact"/>
      </w:pPr>
      <w:r>
        <w:t xml:space="preserve">Tourisme durable</w:t>
      </w:r>
    </w:p>
    <w:p>
      <w:pPr>
        <w:numPr>
          <w:ilvl w:val="0"/>
          <w:numId w:val="1005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5"/>
        </w:numPr>
        <w:pStyle w:val="Compact"/>
      </w:pPr>
      <w:r>
        <w:t xml:space="preserve">Efficacité énergétique</w:t>
      </w:r>
    </w:p>
    <w:p>
      <w:pPr>
        <w:numPr>
          <w:ilvl w:val="0"/>
          <w:numId w:val="1005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5"/>
        </w:numPr>
        <w:pStyle w:val="Compact"/>
      </w:pPr>
      <w:r>
        <w:t xml:space="preserve">Mobilités douces</w:t>
      </w:r>
    </w:p>
    <w:p>
      <w:pPr>
        <w:numPr>
          <w:ilvl w:val="0"/>
          <w:numId w:val="1005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5"/>
        </w:numPr>
        <w:pStyle w:val="Compact"/>
      </w:pPr>
      <w:r>
        <w:t xml:space="preserve">Transports en commun</w:t>
      </w:r>
    </w:p>
    <w:p>
      <w:pPr>
        <w:numPr>
          <w:ilvl w:val="0"/>
          <w:numId w:val="1005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5"/>
        </w:numPr>
        <w:pStyle w:val="Compact"/>
      </w:pPr>
      <w:r>
        <w:t xml:space="preserve">Culture et patrimoine</w:t>
      </w:r>
    </w:p>
    <w:p>
      <w:pPr>
        <w:numPr>
          <w:ilvl w:val="0"/>
          <w:numId w:val="1005"/>
        </w:numPr>
        <w:pStyle w:val="Compact"/>
      </w:pPr>
      <w:r>
        <w:t xml:space="preserve">Sport</w:t>
      </w:r>
    </w:p>
    <w:p>
      <w:pPr>
        <w:numPr>
          <w:ilvl w:val="0"/>
          <w:numId w:val="1005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5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5"/>
        </w:numPr>
        <w:pStyle w:val="Compact"/>
      </w:pPr>
      <w:r>
        <w:t xml:space="preserve">Loisirs</w:t>
      </w:r>
    </w:p>
    <w:p>
      <w:pPr>
        <w:numPr>
          <w:ilvl w:val="0"/>
          <w:numId w:val="1005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5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5"/>
        </w:numPr>
        <w:pStyle w:val="Compact"/>
      </w:pPr>
      <w:r>
        <w:t xml:space="preserve">Education</w:t>
      </w:r>
    </w:p>
    <w:p>
      <w:pPr>
        <w:numPr>
          <w:ilvl w:val="0"/>
          <w:numId w:val="1005"/>
        </w:numPr>
        <w:pStyle w:val="Compact"/>
      </w:pPr>
      <w:r>
        <w:t xml:space="preserve">Usages et inclusion numériques</w:t>
      </w:r>
    </w:p>
    <w:p>
      <w:pPr>
        <w:pStyle w:val="FirstParagraph"/>
      </w:pPr>
      <w:r>
        <w:t xml:space="preserve">Nombre de fiches action (opération prête à démarrer) : 0</w:t>
      </w:r>
    </w:p>
    <w:p>
      <w:pPr>
        <w:pStyle w:val="TextBody"/>
      </w:pPr>
      <w:r>
        <w:t xml:space="preserve">Nombre de fiches projet (opération à travailler) : 103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6"/>
        </w:numPr>
        <w:pStyle w:val="Compact"/>
      </w:pPr>
      <w:r>
        <w:t xml:space="preserve">Elus</w:t>
      </w:r>
    </w:p>
    <w:p>
      <w:pPr>
        <w:numPr>
          <w:ilvl w:val="0"/>
          <w:numId w:val="1006"/>
        </w:numPr>
        <w:pStyle w:val="Compact"/>
      </w:pPr>
      <w:r>
        <w:t xml:space="preserve">Services de l’Etat</w:t>
      </w:r>
    </w:p>
    <w:p>
      <w:pPr>
        <w:numPr>
          <w:ilvl w:val="0"/>
          <w:numId w:val="1006"/>
        </w:numPr>
        <w:pStyle w:val="Compact"/>
      </w:pPr>
      <w:r>
        <w:t xml:space="preserve">ADEME</w:t>
      </w:r>
    </w:p>
    <w:p>
      <w:pPr>
        <w:numPr>
          <w:ilvl w:val="0"/>
          <w:numId w:val="1006"/>
        </w:numPr>
        <w:pStyle w:val="Compact"/>
      </w:pPr>
      <w:r>
        <w:t xml:space="preserve">Banque des territoires</w:t>
      </w:r>
    </w:p>
    <w:p>
      <w:pPr>
        <w:numPr>
          <w:ilvl w:val="0"/>
          <w:numId w:val="1006"/>
        </w:numPr>
        <w:pStyle w:val="Compact"/>
      </w:pPr>
      <w:r>
        <w:t xml:space="preserve">Autres établissements publics et opérateurs mobilisés en appui du CRTE</w:t>
      </w:r>
    </w:p>
    <w:p>
      <w:pPr>
        <w:pStyle w:val="FirstParagraph"/>
      </w:pPr>
      <w:r>
        <w:t xml:space="preserve">Liste des instances de partenariat mobilisées ou créées : Conseil métropolitain</w:t>
      </w:r>
    </w:p>
    <w:p>
      <w:pPr>
        <w:pStyle w:val="TextBody"/>
      </w:pPr>
      <w:r>
        <w:t xml:space="preserve">Fréquence prévisionnelle annuelle de réunion du COPIL : 1</w:t>
      </w:r>
    </w:p>
    <w:p>
      <w:pPr>
        <w:pStyle w:val="TextBody"/>
      </w:pPr>
      <w:r>
        <w:t xml:space="preserve">Fréquence prévisionnelle annuelle de réunion du comité technique : 2</w:t>
      </w:r>
    </w:p>
    <w:p>
      <w:pPr>
        <w:pStyle w:val="TextBody"/>
      </w:pPr>
      <w:r>
        <w:t xml:space="preserve">Liste des partenaires socio-économiques : CCI</w:t>
      </w:r>
    </w:p>
    <w:p>
      <w:pPr>
        <w:pStyle w:val="TextBody"/>
      </w:pPr>
      <w:r>
        <w:t xml:space="preserve">Démarches de co-construction du CRTE : Concertation élus/techniciens</w:t>
      </w:r>
    </w:p>
    <w:p>
      <w:pPr>
        <w:pStyle w:val="TextBody"/>
      </w:pPr>
      <w:r>
        <w:t xml:space="preserve">Existence d’un volet de coopération interterritoriale (dont volet transfrontalier) : Oui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numPr>
          <w:ilvl w:val="0"/>
          <w:numId w:val="1007"/>
        </w:numPr>
        <w:pStyle w:val="Compact"/>
      </w:pPr>
      <w:r>
        <w:t xml:space="preserve">Circuits courts agricoles</w:t>
      </w:r>
    </w:p>
    <w:p>
      <w:pPr>
        <w:numPr>
          <w:ilvl w:val="0"/>
          <w:numId w:val="1007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7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7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7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7"/>
        </w:numPr>
        <w:pStyle w:val="Compact"/>
      </w:pPr>
      <w:r>
        <w:t xml:space="preserve">Tourisme durable</w:t>
      </w:r>
    </w:p>
    <w:p>
      <w:pPr>
        <w:numPr>
          <w:ilvl w:val="0"/>
          <w:numId w:val="1007"/>
        </w:numPr>
        <w:pStyle w:val="Compact"/>
      </w:pPr>
      <w:r>
        <w:t xml:space="preserve">Efficacité énergétique</w:t>
      </w:r>
    </w:p>
    <w:p>
      <w:pPr>
        <w:numPr>
          <w:ilvl w:val="0"/>
          <w:numId w:val="1007"/>
        </w:numPr>
        <w:pStyle w:val="Compact"/>
      </w:pPr>
      <w:r>
        <w:t xml:space="preserve">Mobilités douces</w:t>
      </w:r>
    </w:p>
    <w:p>
      <w:pPr>
        <w:numPr>
          <w:ilvl w:val="0"/>
          <w:numId w:val="1007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7"/>
        </w:numPr>
        <w:pStyle w:val="Compact"/>
      </w:pPr>
      <w:r>
        <w:t xml:space="preserve">Culture et patrimoine</w:t>
      </w:r>
    </w:p>
    <w:p>
      <w:pPr>
        <w:numPr>
          <w:ilvl w:val="0"/>
          <w:numId w:val="1007"/>
        </w:numPr>
        <w:pStyle w:val="Compact"/>
      </w:pPr>
      <w:r>
        <w:t xml:space="preserve">Loisirs</w:t>
      </w:r>
    </w:p>
    <w:p>
      <w:pPr>
        <w:numPr>
          <w:ilvl w:val="0"/>
          <w:numId w:val="1007"/>
        </w:numPr>
        <w:pStyle w:val="Compact"/>
      </w:pPr>
      <w:r>
        <w:t xml:space="preserve">Ecologie industrielle et économie collaborative</w:t>
      </w:r>
    </w:p>
    <w:p>
      <w:pPr>
        <w:numPr>
          <w:ilvl w:val="0"/>
          <w:numId w:val="1007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7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7"/>
        </w:numPr>
        <w:pStyle w:val="Compact"/>
      </w:pPr>
      <w:r>
        <w:t xml:space="preserve">Vivre ensemble, interdépendance et solidarité</w:t>
      </w:r>
    </w:p>
    <w:p>
      <w:pPr>
        <w:pStyle w:val="FirstParagraph"/>
      </w:pPr>
      <w:r>
        <w:t xml:space="preserve">Définition d’indicateurs de suivi des objectifs opérationnels du CRTE : Oui</w:t>
      </w:r>
    </w:p>
    <w:p>
      <w:pPr>
        <w:pStyle w:val="TextBody"/>
      </w:pPr>
      <w:r>
        <w:t xml:space="preserve">État des lieux écologique renseigné à l’aune des 13 indicateurs du socle national : Oui</w:t>
      </w:r>
    </w:p>
    <w:p>
      <w:pPr>
        <w:pStyle w:val="TextBody"/>
      </w:pPr>
      <w:r>
        <w:t xml:space="preserve">Recours à la grille d’analyse ex-ante des actions : Oui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TextBody"/>
      </w:pPr>
      <w:r>
        <w:t xml:space="preserve">Recrutement d’un volontaire territorial en administration : Non</w:t>
      </w:r>
    </w:p>
    <w:p>
      <w:pPr>
        <w:pStyle w:val="TextBody"/>
      </w:pPr>
      <w:r>
        <w:t xml:space="preserve">Mobilisation de l’ingénierie locale : Non</w:t>
      </w:r>
    </w:p>
    <w:p>
      <w:pPr>
        <w:pStyle w:val="TextBody"/>
      </w:pPr>
      <w:r>
        <w:t xml:space="preserve">Mobilisation d’une ingénierie externe : Non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0€</w:t>
      </w:r>
    </w:p>
    <w:p>
      <w:pPr>
        <w:pStyle w:val="TextBody"/>
      </w:pPr>
      <w:r>
        <w:t xml:space="preserve">Montant total en euros des engagements financiers des collectivités locales et leurs établissements publics : 0€</w:t>
      </w:r>
    </w:p>
    <w:p>
      <w:pPr>
        <w:pStyle w:val="TextBody"/>
      </w:pPr>
      <w:r>
        <w:t xml:space="preserve">Montant total en euros des engagements financiers de l’Etat et de ses opérateurs Plan de relance : 0€</w:t>
      </w:r>
    </w:p>
    <w:p>
      <w:pPr>
        <w:pStyle w:val="TextBody"/>
      </w:pPr>
      <w:r>
        <w:t xml:space="preserve">Montant total en euros des engagements financiers de l’Etat et de ses opérateurs hors plan de relance : 0€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2022-05-06T15:22:59Z</dcterms:created>
  <dcterms:modified xsi:type="dcterms:W3CDTF">2022-05-06T15:22:59Z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