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catherine.perret@pas-de-calais.gouv.fr</w:t>
      </w:r>
    </w:p>
    <w:p>
      <w:pPr>
        <w:pStyle w:val="TextBody"/>
      </w:pPr>
      <w:r>
        <w:t xml:space="preserve">Date de signature du CRTE : 13 décembre 2021</w:t>
      </w:r>
    </w:p>
    <w:p>
      <w:pPr>
        <w:pStyle w:val="TextBody"/>
      </w:pPr>
      <w:r>
        <w:t xml:space="preserve">Nature juridique de la structure porteuse : Communauté d’Agglomération</w:t>
      </w:r>
    </w:p>
    <w:p>
      <w:pPr>
        <w:pStyle w:val="TextBody"/>
      </w:pPr>
      <w:r>
        <w:t xml:space="preserve">Nom de la structure porteuse : CA HENIN CARVIN</w:t>
      </w:r>
    </w:p>
    <w:p>
      <w:pPr>
        <w:pStyle w:val="TextBody"/>
      </w:pPr>
      <w:r>
        <w:t xml:space="preserve">Si protocole de préfiguration : date de signature : 12 juillet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CA d’Hénin-Carvin, nature: CA, SIREN: 246200299</w:t>
      </w:r>
    </w:p>
    <w:p>
      <w:pPr>
        <w:numPr>
          <w:ilvl w:val="0"/>
          <w:numId w:val="1001"/>
        </w:numPr>
        <w:pStyle w:val="Compact"/>
      </w:pPr>
      <w:r>
        <w:t xml:space="preserve">Nom: SM</w:t>
      </w:r>
      <w:r>
        <w:t xml:space="preserve"> </w:t>
      </w:r>
      <w:r>
        <w:t xml:space="preserve">“</w:t>
      </w:r>
      <w:r>
        <w:t xml:space="preserve">Pôle Métropolitain de l’Artois</w:t>
      </w:r>
      <w:r>
        <w:t xml:space="preserve">”</w:t>
      </w:r>
      <w:r>
        <w:t xml:space="preserve">, nature: SMO, SIREN: 200060358</w:t>
      </w:r>
    </w:p>
    <w:p>
      <w:pPr>
        <w:pStyle w:val="Heading1"/>
      </w:pPr>
      <w:bookmarkStart w:id="22" w:name="stratégie"/>
      <w:r>
        <w:t xml:space="preserve">Stratégie</w:t>
      </w:r>
      <w:bookmarkEnd w:id="22"/>
    </w:p>
    <w:p>
      <w:pPr>
        <w:pStyle w:val="FirstParagraph"/>
      </w:pPr>
      <w:r>
        <w:t xml:space="preserve">Nature des documents stratégiques et plans-programmes préexistants : SCOT</w:t>
      </w:r>
    </w:p>
    <w:p>
      <w:pPr>
        <w:pStyle w:val="TextBody"/>
      </w:pPr>
      <w:r>
        <w:t xml:space="preserve">Liste des contrats figurant dans le CRTE : Plan partenarial d’aménagement</w:t>
      </w:r>
    </w:p>
    <w:p>
      <w:pPr>
        <w:pStyle w:val="TextBody"/>
      </w:pPr>
      <w:r>
        <w:t xml:space="preserve">Liste des programmes de l’ANCT intégrés :</w:t>
      </w:r>
    </w:p>
    <w:p>
      <w:pPr>
        <w:numPr>
          <w:ilvl w:val="0"/>
          <w:numId w:val="1002"/>
        </w:numPr>
        <w:pStyle w:val="Compact"/>
      </w:pPr>
      <w:r>
        <w:t xml:space="preserve">Territoires d’industrie</w:t>
      </w:r>
    </w:p>
    <w:p>
      <w:pPr>
        <w:numPr>
          <w:ilvl w:val="0"/>
          <w:numId w:val="1002"/>
        </w:numPr>
        <w:pStyle w:val="Compact"/>
      </w:pPr>
      <w:r>
        <w:t xml:space="preserve">Petits villes de demain</w:t>
      </w:r>
    </w:p>
    <w:p>
      <w:pPr>
        <w:pStyle w:val="FirstParagraph"/>
      </w:pPr>
      <w:r>
        <w:t xml:space="preserve">Liste des orientations stratégiques, axes, ambitions, volets, objectifs… :</w:t>
      </w:r>
    </w:p>
    <w:p>
      <w:pPr>
        <w:numPr>
          <w:ilvl w:val="0"/>
          <w:numId w:val="1003"/>
        </w:numPr>
        <w:pStyle w:val="Compact"/>
      </w:pPr>
      <w:r>
        <w:t xml:space="preserve">Pôle Métropolitain de l’Artois. Au total, trois axes structurent la coopération à cette échelle : 1. L’éco-transition comme modèle de développement : faire du territoire un démonstrateur de la Troisième Révolution Industrielle 2. « De l’archipel noir à l’archipel vert », vers un réseau multipolaire, équilibré et résilient de villes, villages et cités minières 3. Une vie sociale et culturelle solidaire, attentive à chacun et rayonnante.</w:t>
      </w:r>
    </w:p>
    <w:p>
      <w:pPr>
        <w:numPr>
          <w:ilvl w:val="0"/>
          <w:numId w:val="1003"/>
        </w:numPr>
        <w:pStyle w:val="Compact"/>
      </w:pPr>
      <w:r>
        <w:t xml:space="preserve">CAHC, une stratégie du territoire est organisée autour de cinq orientations stratégiques : 1. un territoire de renouveau économique notamment que les questions d’emplois verts et solidaires, d’économie de proximité, de maîtrise et de valorisation du foncier 2. Un territoire au service de la qualité de vie notamment sur les enjeux de cadre de vie, d’habitat de qualité et mobilités douces 3. Un territoire qui s’affirme par la préservation de son patrimoine culturel et naturel notamment sur les sujets liés aux espaces naturels, à la préservation d’un environnement sain, des paysages et du patrimoine ainsi que de la limitation de l’artificialisation 4. Un territoire qui favorise l’épanouissement de chacun notamment en matière de santé, d’accompagnement et de protection, de culture, de sport et de loisirs 5. Un territoire de partage, de coopération et d’initiatives sur les enjeux d’engagement, d’innovation sociale et de solidarité.</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4"/>
        </w:numPr>
        <w:pStyle w:val="Compact"/>
      </w:pPr>
      <w:r>
        <w:t xml:space="preserve">Circuits courts agricoles</w:t>
      </w:r>
    </w:p>
    <w:p>
      <w:pPr>
        <w:numPr>
          <w:ilvl w:val="0"/>
          <w:numId w:val="1004"/>
        </w:numPr>
        <w:pStyle w:val="Compact"/>
      </w:pPr>
      <w:r>
        <w:t xml:space="preserve">Restauration et alimentation durable</w:t>
      </w:r>
    </w:p>
    <w:p>
      <w:pPr>
        <w:numPr>
          <w:ilvl w:val="0"/>
          <w:numId w:val="1004"/>
        </w:numPr>
        <w:pStyle w:val="Compact"/>
      </w:pPr>
      <w:r>
        <w:t xml:space="preserve">Espaces publics, espaces verts</w:t>
      </w:r>
    </w:p>
    <w:p>
      <w:pPr>
        <w:numPr>
          <w:ilvl w:val="0"/>
          <w:numId w:val="1004"/>
        </w:numPr>
        <w:pStyle w:val="Compact"/>
      </w:pPr>
      <w:r>
        <w:t xml:space="preserve">Extension urbaine maîtrisée</w:t>
      </w:r>
    </w:p>
    <w:p>
      <w:pPr>
        <w:numPr>
          <w:ilvl w:val="0"/>
          <w:numId w:val="1004"/>
        </w:numPr>
        <w:pStyle w:val="Compact"/>
      </w:pPr>
      <w:r>
        <w:t xml:space="preserve">Infrastructure(s) et réseaux (numérique, eau,chaleur…)</w:t>
      </w:r>
    </w:p>
    <w:p>
      <w:pPr>
        <w:numPr>
          <w:ilvl w:val="0"/>
          <w:numId w:val="1004"/>
        </w:numPr>
        <w:pStyle w:val="Compact"/>
      </w:pPr>
      <w:r>
        <w:t xml:space="preserve">Opération de requalification (friches…)</w:t>
      </w:r>
    </w:p>
    <w:p>
      <w:pPr>
        <w:numPr>
          <w:ilvl w:val="0"/>
          <w:numId w:val="1004"/>
        </w:numPr>
        <w:pStyle w:val="Compact"/>
      </w:pPr>
      <w:r>
        <w:t xml:space="preserve">Gestion quantitative et qualitative de l’eau</w:t>
      </w:r>
    </w:p>
    <w:p>
      <w:pPr>
        <w:numPr>
          <w:ilvl w:val="0"/>
          <w:numId w:val="1004"/>
        </w:numPr>
        <w:pStyle w:val="Compact"/>
      </w:pPr>
      <w:r>
        <w:t xml:space="preserve">Efficacité énergétique</w:t>
      </w:r>
    </w:p>
    <w:p>
      <w:pPr>
        <w:numPr>
          <w:ilvl w:val="0"/>
          <w:numId w:val="1004"/>
        </w:numPr>
        <w:pStyle w:val="Compact"/>
      </w:pPr>
      <w:r>
        <w:t xml:space="preserve">Production d’énergies renouvelables</w:t>
      </w:r>
    </w:p>
    <w:p>
      <w:pPr>
        <w:numPr>
          <w:ilvl w:val="0"/>
          <w:numId w:val="1004"/>
        </w:numPr>
        <w:pStyle w:val="Compact"/>
      </w:pPr>
      <w:r>
        <w:t xml:space="preserve">Mobilités douces</w:t>
      </w:r>
    </w:p>
    <w:p>
      <w:pPr>
        <w:numPr>
          <w:ilvl w:val="0"/>
          <w:numId w:val="1004"/>
        </w:numPr>
        <w:pStyle w:val="Compact"/>
      </w:pPr>
      <w:r>
        <w:t xml:space="preserve">Organisation des déplacements</w:t>
      </w:r>
    </w:p>
    <w:p>
      <w:pPr>
        <w:numPr>
          <w:ilvl w:val="0"/>
          <w:numId w:val="1004"/>
        </w:numPr>
        <w:pStyle w:val="Compact"/>
      </w:pPr>
      <w:r>
        <w:t xml:space="preserve">Culture et patrimoine</w:t>
      </w:r>
    </w:p>
    <w:p>
      <w:pPr>
        <w:numPr>
          <w:ilvl w:val="0"/>
          <w:numId w:val="1004"/>
        </w:numPr>
        <w:pStyle w:val="Compact"/>
      </w:pPr>
      <w:r>
        <w:t xml:space="preserve">Loisirs</w:t>
      </w:r>
    </w:p>
    <w:p>
      <w:pPr>
        <w:numPr>
          <w:ilvl w:val="0"/>
          <w:numId w:val="1004"/>
        </w:numPr>
        <w:pStyle w:val="Compact"/>
      </w:pPr>
      <w:r>
        <w:t xml:space="preserve">Usages et inclusion numériques</w:t>
      </w:r>
    </w:p>
    <w:p>
      <w:pPr>
        <w:pStyle w:val="FirstParagraph"/>
      </w:pPr>
      <w:r>
        <w:t xml:space="preserve">Nombre de fiches action (opération prête à démarrer) : 24</w:t>
      </w:r>
    </w:p>
    <w:p>
      <w:pPr>
        <w:pStyle w:val="TextBody"/>
      </w:pPr>
      <w:r>
        <w:t xml:space="preserve">Nombre de fiches projet (opération à travailler) : 0</w:t>
      </w:r>
    </w:p>
    <w:p>
      <w:pPr>
        <w:pStyle w:val="Heading1"/>
      </w:pPr>
      <w:bookmarkStart w:id="24" w:name="gouvernance-et-évaluation"/>
      <w:r>
        <w:t xml:space="preserve">Gouvernance et évaluation</w:t>
      </w:r>
      <w:bookmarkEnd w:id="24"/>
    </w:p>
    <w:p>
      <w:pPr>
        <w:pStyle w:val="FirstParagraph"/>
      </w:pPr>
      <w:r>
        <w:t xml:space="preserve">composition du COPIL : Nom: CA d’Hénin-Carvin, nature: CA, SIREN: 246200299</w:t>
      </w:r>
    </w:p>
    <w:p>
      <w:pPr>
        <w:pStyle w:val="TextBody"/>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 CONSEIL DE DEVELOPPEMENT, CCI, CMA, CA, et EURALENS</w:t>
      </w:r>
    </w:p>
    <w:p>
      <w:pPr>
        <w:pStyle w:val="TextBody"/>
      </w:pPr>
      <w:r>
        <w:t xml:space="preserve">Démarches de co-construction du CRTE : Concertation élus/techniciens</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5"/>
        </w:numPr>
        <w:pStyle w:val="Compact"/>
      </w:pPr>
      <w:r>
        <w:t xml:space="preserve">Ecologie industrielle et économie collaborative</w:t>
      </w:r>
    </w:p>
    <w:p>
      <w:pPr>
        <w:numPr>
          <w:ilvl w:val="0"/>
          <w:numId w:val="1005"/>
        </w:numPr>
        <w:pStyle w:val="Compact"/>
      </w:pPr>
      <w:r>
        <w:t xml:space="preserve">Mobilités douces</w:t>
      </w:r>
    </w:p>
    <w:p>
      <w:pPr>
        <w:numPr>
          <w:ilvl w:val="0"/>
          <w:numId w:val="1005"/>
        </w:numPr>
        <w:pStyle w:val="Compact"/>
      </w:pPr>
      <w:r>
        <w:t xml:space="preserve">Organisation des déplacements</w:t>
      </w:r>
    </w:p>
    <w:p>
      <w:pPr>
        <w:numPr>
          <w:ilvl w:val="0"/>
          <w:numId w:val="1005"/>
        </w:numPr>
        <w:pStyle w:val="Compact"/>
      </w:pPr>
      <w:r>
        <w:t xml:space="preserve">Transports en commun</w:t>
      </w:r>
    </w:p>
    <w:p>
      <w:pPr>
        <w:numPr>
          <w:ilvl w:val="0"/>
          <w:numId w:val="1005"/>
        </w:numPr>
        <w:pStyle w:val="Compact"/>
      </w:pPr>
      <w:r>
        <w:t xml:space="preserve">Véhicules électriques, hybrides, GNV, bornes de recharge…</w:t>
      </w:r>
    </w:p>
    <w:p>
      <w:pPr>
        <w:numPr>
          <w:ilvl w:val="0"/>
          <w:numId w:val="1005"/>
        </w:numPr>
        <w:pStyle w:val="Compact"/>
      </w:pPr>
      <w:r>
        <w:t xml:space="preserve">Culture et patrimoine</w:t>
      </w:r>
    </w:p>
    <w:p>
      <w:pPr>
        <w:numPr>
          <w:ilvl w:val="0"/>
          <w:numId w:val="1005"/>
        </w:numPr>
        <w:pStyle w:val="Compact"/>
      </w:pPr>
      <w:r>
        <w:t xml:space="preserve">Sport</w:t>
      </w:r>
    </w:p>
    <w:p>
      <w:pPr>
        <w:numPr>
          <w:ilvl w:val="0"/>
          <w:numId w:val="1005"/>
        </w:numPr>
        <w:pStyle w:val="Compact"/>
      </w:pPr>
      <w:r>
        <w:t xml:space="preserve">Loisirs</w:t>
      </w:r>
    </w:p>
    <w:p>
      <w:pPr>
        <w:numPr>
          <w:ilvl w:val="0"/>
          <w:numId w:val="1005"/>
        </w:numPr>
        <w:pStyle w:val="Compact"/>
      </w:pPr>
      <w:r>
        <w:t xml:space="preserve">Formation professionnelle</w:t>
      </w:r>
    </w:p>
    <w:p>
      <w:pPr>
        <w:numPr>
          <w:ilvl w:val="0"/>
          <w:numId w:val="1005"/>
        </w:numPr>
        <w:pStyle w:val="Compact"/>
      </w:pPr>
      <w:r>
        <w:t xml:space="preserve">Education</w:t>
      </w:r>
    </w:p>
    <w:p>
      <w:pPr>
        <w:numPr>
          <w:ilvl w:val="0"/>
          <w:numId w:val="1005"/>
        </w:numPr>
        <w:pStyle w:val="Compact"/>
      </w:pPr>
      <w:r>
        <w:t xml:space="preserve">Santé et soins</w:t>
      </w:r>
    </w:p>
    <w:p>
      <w:pPr>
        <w:numPr>
          <w:ilvl w:val="0"/>
          <w:numId w:val="1005"/>
        </w:numPr>
        <w:pStyle w:val="Compact"/>
      </w:pPr>
      <w:r>
        <w:t xml:space="preserve">Vivre ensemble, interdépendance et solidarité</w:t>
      </w:r>
    </w:p>
    <w:p>
      <w:pPr>
        <w:pStyle w:val="FirstParagraph"/>
      </w:pPr>
      <w:r>
        <w:t xml:space="preserve">Définition d’indicateurs de suivi des objectifs opérationnels du CRTE : Oui</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w:t>
      </w:r>
    </w:p>
    <w:p>
      <w:pPr>
        <w:numPr>
          <w:ilvl w:val="0"/>
          <w:numId w:val="1006"/>
        </w:numPr>
        <w:pStyle w:val="Compact"/>
      </w:pPr>
      <w:r>
        <w:t xml:space="preserve">CAUE</w:t>
      </w:r>
    </w:p>
    <w:p>
      <w:pPr>
        <w:numPr>
          <w:ilvl w:val="0"/>
          <w:numId w:val="1006"/>
        </w:numPr>
        <w:pStyle w:val="Compact"/>
      </w:pPr>
      <w:r>
        <w:t xml:space="preserve">Agence d’urbanisme</w:t>
      </w:r>
    </w:p>
    <w:p>
      <w:pPr>
        <w:numPr>
          <w:ilvl w:val="0"/>
          <w:numId w:val="1006"/>
        </w:numPr>
        <w:pStyle w:val="Compact"/>
      </w:pPr>
      <w:r>
        <w:t xml:space="preserve">Centre permanent d’initiatives pour l’environnement (CPIE)</w:t>
      </w:r>
    </w:p>
    <w:p>
      <w:pPr>
        <w:pStyle w:val="FirstParagraph"/>
      </w:pPr>
      <w:r>
        <w:t xml:space="preserve">Mobilisation d’une ingénierie externe :</w:t>
      </w:r>
    </w:p>
    <w:p>
      <w:pPr>
        <w:numPr>
          <w:ilvl w:val="0"/>
          <w:numId w:val="1007"/>
        </w:numPr>
        <w:pStyle w:val="Compact"/>
      </w:pPr>
      <w:r>
        <w:t xml:space="preserve">Bureau d’étude marché ANCT</w:t>
      </w:r>
    </w:p>
    <w:p>
      <w:pPr>
        <w:numPr>
          <w:ilvl w:val="0"/>
          <w:numId w:val="1007"/>
        </w:numPr>
        <w:pStyle w:val="Compact"/>
      </w:pPr>
      <w:r>
        <w:t xml:space="preserve">Bureau étude subvention ANCT</w:t>
      </w:r>
    </w:p>
    <w:p>
      <w:pPr>
        <w:numPr>
          <w:ilvl w:val="0"/>
          <w:numId w:val="1007"/>
        </w:numPr>
        <w:pStyle w:val="Compact"/>
      </w:pPr>
      <w:r>
        <w:t xml:space="preserve">CEREMA</w:t>
      </w:r>
    </w:p>
    <w:p>
      <w:pPr>
        <w:numPr>
          <w:ilvl w:val="0"/>
          <w:numId w:val="1007"/>
        </w:numPr>
        <w:pStyle w:val="Compact"/>
      </w:pPr>
      <w:r>
        <w:t xml:space="preserve">ADEME</w:t>
      </w:r>
    </w:p>
    <w:p>
      <w:pPr>
        <w:numPr>
          <w:ilvl w:val="0"/>
          <w:numId w:val="1007"/>
        </w:numPr>
        <w:pStyle w:val="Compact"/>
      </w:pPr>
      <w:r>
        <w:t xml:space="preserve">Bureau étude sans aide ANCT</w:t>
      </w:r>
    </w:p>
    <w:p>
      <w:pPr>
        <w:numPr>
          <w:ilvl w:val="0"/>
          <w:numId w:val="1007"/>
        </w:numPr>
        <w:pStyle w:val="Compact"/>
      </w:pPr>
      <w:r>
        <w:t xml:space="preserve">Banque des territoires</w:t>
      </w:r>
    </w:p>
    <w:p>
      <w:pPr>
        <w:pStyle w:val="FirstParagraph"/>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90.71M€</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2022-05-06T15:22:58Z</dcterms:created>
  <dcterms:modified xsi:type="dcterms:W3CDTF">2022-05-06T15:22:58Z</dcterms:modified>
</cp:coreProperties>
</file>

<file path=docProps/custom.xml><?xml version="1.0" encoding="utf-8"?>
<Properties xmlns="http://schemas.openxmlformats.org/officeDocument/2006/custom-properties" xmlns:vt="http://schemas.openxmlformats.org/officeDocument/2006/docPropsVTypes"/>
</file>