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muriel.depale@oise.gouv.fr</w:t>
      </w:r>
    </w:p>
    <w:p>
      <w:pPr>
        <w:pStyle w:val="TextBody"/>
      </w:pPr>
      <w:r>
        <w:t xml:space="preserve">Date de signature du CRTE : 15 décembre 2021</w:t>
      </w:r>
    </w:p>
    <w:p>
      <w:pPr>
        <w:pStyle w:val="TextBody"/>
      </w:pPr>
      <w:r>
        <w:t xml:space="preserve">Nature juridique de la structure porteuse : Communauté de communes</w:t>
      </w:r>
    </w:p>
    <w:p>
      <w:pPr>
        <w:pStyle w:val="TextBody"/>
      </w:pPr>
      <w:r>
        <w:t xml:space="preserve">Nom de la structure porteuse : Communauté de communes du pays du Valois (CCPV)</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:Nom: CC du Pays de Valois, nature: CC, SIREN: 246000871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PCAET</w:t>
      </w:r>
    </w:p>
    <w:p>
      <w:pPr>
        <w:numPr>
          <w:ilvl w:val="0"/>
          <w:numId w:val="1001"/>
        </w:numPr>
        <w:pStyle w:val="Compact"/>
      </w:pPr>
      <w:r>
        <w:t xml:space="preserve">SAGE</w:t>
      </w:r>
    </w:p>
    <w:p>
      <w:pPr>
        <w:numPr>
          <w:ilvl w:val="0"/>
          <w:numId w:val="1001"/>
        </w:numPr>
        <w:pStyle w:val="Compact"/>
      </w:pPr>
      <w:r>
        <w:t xml:space="preserve">SDAGE</w:t>
      </w:r>
    </w:p>
    <w:p>
      <w:pPr>
        <w:numPr>
          <w:ilvl w:val="0"/>
          <w:numId w:val="1001"/>
        </w:numPr>
        <w:pStyle w:val="Compact"/>
      </w:pPr>
      <w:r>
        <w:t xml:space="preserve">SCOT</w:t>
      </w:r>
    </w:p>
    <w:p>
      <w:pPr>
        <w:pStyle w:val="FirstParagraph"/>
      </w:pPr>
      <w:r>
        <w:t xml:space="preserve">Liste des contrats figurant dans le CRTE : Contrat de ville</w:t>
      </w:r>
    </w:p>
    <w:p>
      <w:pPr>
        <w:pStyle w:val="TextBody"/>
      </w:pPr>
      <w:r>
        <w:t xml:space="preserve">Liste des programmes de l’ANCT intégrés :</w:t>
      </w:r>
    </w:p>
    <w:p>
      <w:pPr>
        <w:numPr>
          <w:ilvl w:val="0"/>
          <w:numId w:val="1002"/>
        </w:numPr>
        <w:pStyle w:val="Compact"/>
      </w:pPr>
      <w:r>
        <w:t xml:space="preserve">France services</w:t>
      </w:r>
    </w:p>
    <w:p>
      <w:pPr>
        <w:numPr>
          <w:ilvl w:val="0"/>
          <w:numId w:val="1002"/>
        </w:numPr>
        <w:pStyle w:val="Compact"/>
      </w:pPr>
      <w:r>
        <w:t xml:space="preserve">Territoires d’industrie</w:t>
      </w:r>
    </w:p>
    <w:p>
      <w:pPr>
        <w:numPr>
          <w:ilvl w:val="0"/>
          <w:numId w:val="1002"/>
        </w:numPr>
        <w:pStyle w:val="Compact"/>
      </w:pPr>
      <w:r>
        <w:t xml:space="preserve">Programme réussite éducative</w:t>
      </w:r>
    </w:p>
    <w:p>
      <w:pPr>
        <w:pStyle w:val="FirstParagraph"/>
      </w:pPr>
      <w:r>
        <w:t xml:space="preserve">Liste des orientations stratégiques, axes, ambitions, volets, objectifs… :</w:t>
      </w:r>
    </w:p>
    <w:p>
      <w:pPr>
        <w:numPr>
          <w:ilvl w:val="0"/>
          <w:numId w:val="1003"/>
        </w:numPr>
        <w:pStyle w:val="Compact"/>
      </w:pPr>
      <w:r>
        <w:t xml:space="preserve">Axe 1 : améliorer les mobilités- planifier, décarbonner les mobilités, favoriser l’intermodalité, mobilité touristiue</w:t>
      </w:r>
    </w:p>
    <w:p>
      <w:pPr>
        <w:numPr>
          <w:ilvl w:val="0"/>
          <w:numId w:val="1003"/>
        </w:numPr>
        <w:pStyle w:val="Compact"/>
      </w:pPr>
      <w:r>
        <w:t xml:space="preserve">Axe 2 : Accompagner le territoire dans sa transition écologique et énergétique : diminuer les consommations d’énergie, produire des énergies renouvelablles, développer l’économie circulaire, encourager une transition agricole et une alimentation locale, préserver la biodiversité, rechercher une sobriété foncière, protéger la ressource en eau et améliorer l’assainissement, surveiller la qualité de l’air, revitalisation urbaine,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Pratique agricole durable, agro-écologie</w:t>
      </w:r>
    </w:p>
    <w:p>
      <w:pPr>
        <w:numPr>
          <w:ilvl w:val="0"/>
          <w:numId w:val="1004"/>
        </w:numPr>
        <w:pStyle w:val="Compact"/>
      </w:pPr>
      <w:r>
        <w:t xml:space="preserve">Restauration et alimentation durable</w:t>
      </w:r>
    </w:p>
    <w:p>
      <w:pPr>
        <w:numPr>
          <w:ilvl w:val="0"/>
          <w:numId w:val="1004"/>
        </w:numPr>
        <w:pStyle w:val="Compact"/>
      </w:pPr>
      <w:r>
        <w:t xml:space="preserve">Espaces publics, espaces verts</w:t>
      </w:r>
    </w:p>
    <w:p>
      <w:pPr>
        <w:numPr>
          <w:ilvl w:val="0"/>
          <w:numId w:val="1004"/>
        </w:numPr>
        <w:pStyle w:val="Compact"/>
      </w:pPr>
      <w:r>
        <w:t xml:space="preserve">Extension urbaine maîtrisée</w:t>
      </w:r>
    </w:p>
    <w:p>
      <w:pPr>
        <w:numPr>
          <w:ilvl w:val="0"/>
          <w:numId w:val="1004"/>
        </w:numPr>
        <w:pStyle w:val="Compact"/>
      </w:pPr>
      <w:r>
        <w:t xml:space="preserve">Infrastructure(s) et réseaux (numérique, eau,chaleur…)</w:t>
      </w:r>
    </w:p>
    <w:p>
      <w:pPr>
        <w:numPr>
          <w:ilvl w:val="0"/>
          <w:numId w:val="1004"/>
        </w:numPr>
        <w:pStyle w:val="Compact"/>
      </w:pPr>
      <w:r>
        <w:t xml:space="preserve">Opération de requalification (friches…)</w:t>
      </w:r>
    </w:p>
    <w:p>
      <w:pPr>
        <w:numPr>
          <w:ilvl w:val="0"/>
          <w:numId w:val="1004"/>
        </w:numPr>
        <w:pStyle w:val="Compact"/>
      </w:pPr>
      <w:r>
        <w:t xml:space="preserve">Connaissance et protection de la biodiversité et milieux naturels</w:t>
      </w:r>
    </w:p>
    <w:p>
      <w:pPr>
        <w:numPr>
          <w:ilvl w:val="0"/>
          <w:numId w:val="1004"/>
        </w:numPr>
        <w:pStyle w:val="Compact"/>
      </w:pPr>
      <w:r>
        <w:t xml:space="preserve">Gestion quantitative et qualitative de l’eau</w:t>
      </w:r>
    </w:p>
    <w:p>
      <w:pPr>
        <w:numPr>
          <w:ilvl w:val="0"/>
          <w:numId w:val="1004"/>
        </w:numPr>
        <w:pStyle w:val="Compact"/>
      </w:pPr>
      <w:r>
        <w:t xml:space="preserve">Gestion, valorisation des déchets, réemploi</w:t>
      </w:r>
    </w:p>
    <w:p>
      <w:pPr>
        <w:numPr>
          <w:ilvl w:val="0"/>
          <w:numId w:val="1004"/>
        </w:numPr>
        <w:pStyle w:val="Compact"/>
      </w:pPr>
      <w:r>
        <w:t xml:space="preserve">Sensibilisation et animation de la transition</w:t>
      </w:r>
    </w:p>
    <w:p>
      <w:pPr>
        <w:numPr>
          <w:ilvl w:val="0"/>
          <w:numId w:val="1004"/>
        </w:numPr>
        <w:pStyle w:val="Compact"/>
      </w:pPr>
      <w:r>
        <w:t xml:space="preserve">Economie sociale et solidaire</w:t>
      </w:r>
    </w:p>
    <w:p>
      <w:pPr>
        <w:numPr>
          <w:ilvl w:val="0"/>
          <w:numId w:val="1004"/>
        </w:numPr>
        <w:pStyle w:val="Compact"/>
      </w:pPr>
      <w:r>
        <w:t xml:space="preserve">Tourisme durable</w:t>
      </w:r>
    </w:p>
    <w:p>
      <w:pPr>
        <w:numPr>
          <w:ilvl w:val="0"/>
          <w:numId w:val="1004"/>
        </w:numPr>
        <w:pStyle w:val="Compact"/>
      </w:pPr>
      <w:r>
        <w:t xml:space="preserve">Mobilités douces</w:t>
      </w:r>
    </w:p>
    <w:p>
      <w:pPr>
        <w:numPr>
          <w:ilvl w:val="0"/>
          <w:numId w:val="1004"/>
        </w:numPr>
        <w:pStyle w:val="Compact"/>
      </w:pPr>
      <w:r>
        <w:t xml:space="preserve">Organisation des déplacements</w:t>
      </w:r>
    </w:p>
    <w:p>
      <w:pPr>
        <w:numPr>
          <w:ilvl w:val="0"/>
          <w:numId w:val="1004"/>
        </w:numPr>
        <w:pStyle w:val="Compact"/>
      </w:pPr>
      <w:r>
        <w:t xml:space="preserve">Véhicules électriques, hybrides, GNV, bornes de recharge…</w:t>
      </w:r>
    </w:p>
    <w:p>
      <w:pPr>
        <w:numPr>
          <w:ilvl w:val="0"/>
          <w:numId w:val="1004"/>
        </w:numPr>
        <w:pStyle w:val="Compact"/>
      </w:pPr>
      <w:r>
        <w:t xml:space="preserve">Production d’énergies renouvelables</w:t>
      </w:r>
    </w:p>
    <w:p>
      <w:pPr>
        <w:numPr>
          <w:ilvl w:val="0"/>
          <w:numId w:val="1004"/>
        </w:numPr>
        <w:pStyle w:val="Compact"/>
      </w:pPr>
      <w:r>
        <w:t xml:space="preserve">Efficacité énergétique</w:t>
      </w:r>
    </w:p>
    <w:p>
      <w:pPr>
        <w:numPr>
          <w:ilvl w:val="0"/>
          <w:numId w:val="1004"/>
        </w:numPr>
        <w:pStyle w:val="Compact"/>
      </w:pPr>
      <w:r>
        <w:t xml:space="preserve">Economie, production et consommation durable</w:t>
      </w:r>
    </w:p>
    <w:p>
      <w:pPr>
        <w:numPr>
          <w:ilvl w:val="0"/>
          <w:numId w:val="1004"/>
        </w:numPr>
        <w:pStyle w:val="Compact"/>
      </w:pPr>
      <w:r>
        <w:t xml:space="preserve">Culture et patrimoine</w:t>
      </w:r>
    </w:p>
    <w:p>
      <w:pPr>
        <w:numPr>
          <w:ilvl w:val="0"/>
          <w:numId w:val="1004"/>
        </w:numPr>
        <w:pStyle w:val="Compact"/>
      </w:pPr>
      <w:r>
        <w:t xml:space="preserve">Transports en commun</w:t>
      </w:r>
    </w:p>
    <w:p>
      <w:pPr>
        <w:numPr>
          <w:ilvl w:val="0"/>
          <w:numId w:val="1004"/>
        </w:numPr>
        <w:pStyle w:val="Compact"/>
      </w:pPr>
      <w:r>
        <w:t xml:space="preserve">Soutien aux filières innovantes et de R&amp;D</w:t>
      </w:r>
    </w:p>
    <w:p>
      <w:pPr>
        <w:numPr>
          <w:ilvl w:val="0"/>
          <w:numId w:val="1004"/>
        </w:numPr>
        <w:pStyle w:val="Compact"/>
      </w:pPr>
      <w:r>
        <w:t xml:space="preserve">Education</w:t>
      </w:r>
    </w:p>
    <w:p>
      <w:pPr>
        <w:numPr>
          <w:ilvl w:val="0"/>
          <w:numId w:val="1004"/>
        </w:numPr>
        <w:pStyle w:val="Compact"/>
      </w:pPr>
      <w:r>
        <w:t xml:space="preserve">Usages et inclusion numériques</w:t>
      </w:r>
    </w:p>
    <w:p>
      <w:pPr>
        <w:numPr>
          <w:ilvl w:val="0"/>
          <w:numId w:val="1004"/>
        </w:numPr>
        <w:pStyle w:val="Compact"/>
      </w:pPr>
      <w:r>
        <w:t xml:space="preserve">Santé et soins</w:t>
      </w:r>
    </w:p>
    <w:p>
      <w:pPr>
        <w:numPr>
          <w:ilvl w:val="0"/>
          <w:numId w:val="1004"/>
        </w:numPr>
        <w:pStyle w:val="Compact"/>
      </w:pPr>
      <w:r>
        <w:t xml:space="preserve">Tiers Lieux</w:t>
      </w:r>
    </w:p>
    <w:p>
      <w:pPr>
        <w:numPr>
          <w:ilvl w:val="0"/>
          <w:numId w:val="1004"/>
        </w:numPr>
        <w:pStyle w:val="Compact"/>
      </w:pPr>
      <w:r>
        <w:t xml:space="preserve">Formation professionnelle</w:t>
      </w:r>
    </w:p>
    <w:p>
      <w:pPr>
        <w:numPr>
          <w:ilvl w:val="0"/>
          <w:numId w:val="1004"/>
        </w:numPr>
        <w:pStyle w:val="Compact"/>
      </w:pPr>
      <w:r>
        <w:t xml:space="preserve">Circuits courts agricoles</w:t>
      </w:r>
    </w:p>
    <w:p>
      <w:pPr>
        <w:pStyle w:val="FirstParagraph"/>
      </w:pPr>
      <w:r>
        <w:t xml:space="preserve">Nombre de fiches action (opération prête à démarrer) : 55</w:t>
      </w:r>
    </w:p>
    <w:p>
      <w:pPr>
        <w:pStyle w:val="TextBody"/>
      </w:pPr>
      <w:r>
        <w:t xml:space="preserve">Nombre de fiches projet (opération à travailler) : 28</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2022-05-06T15:22:56Z</dcterms:created>
  <dcterms:modified xsi:type="dcterms:W3CDTF">2022-05-06T15:22:56Z</dcterms:modified>
</cp:coreProperties>
</file>

<file path=docProps/custom.xml><?xml version="1.0" encoding="utf-8"?>
<Properties xmlns="http://schemas.openxmlformats.org/officeDocument/2006/custom-properties" xmlns:vt="http://schemas.openxmlformats.org/officeDocument/2006/docPropsVTypes"/>
</file>