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dominique.mangeard@oise.gouv.fr</w:t>
      </w:r>
    </w:p>
    <w:p>
      <w:pPr>
        <w:pStyle w:val="TextBody"/>
      </w:pPr>
      <w:r>
        <w:t xml:space="preserve">Date de signature du CRTE : 15 février 2022</w:t>
      </w:r>
    </w:p>
    <w:p>
      <w:pPr>
        <w:pStyle w:val="TextBody"/>
      </w:pPr>
      <w:r>
        <w:t xml:space="preserve">Nature juridique de la structure porteuse : Communauté de communes</w:t>
      </w:r>
    </w:p>
    <w:p>
      <w:pPr>
        <w:pStyle w:val="TextBody"/>
      </w:pPr>
      <w:r>
        <w:t xml:space="preserve">Nom de la structure porteuse : Communauté de communes du Clermontois</w:t>
      </w:r>
    </w:p>
    <w:p>
      <w:pPr>
        <w:pStyle w:val="TextBody"/>
      </w:pPr>
      <w:r>
        <w:t xml:space="preserve">Si protocole de préfiguration : date de signature : 28 juin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CC du Clermontois, nature: CC, SIREN: 246000376</w:t>
      </w:r>
    </w:p>
    <w:p>
      <w:pPr>
        <w:numPr>
          <w:ilvl w:val="0"/>
          <w:numId w:val="1001"/>
        </w:numPr>
        <w:pStyle w:val="Compact"/>
      </w:pPr>
      <w:r>
        <w:t xml:space="preserve">Préfète de l’Oise</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SDAGE</w:t>
      </w:r>
    </w:p>
    <w:p>
      <w:pPr>
        <w:numPr>
          <w:ilvl w:val="0"/>
          <w:numId w:val="1002"/>
        </w:numPr>
        <w:pStyle w:val="Compact"/>
      </w:pPr>
      <w:r>
        <w:t xml:space="preserve">PCAET</w:t>
      </w:r>
    </w:p>
    <w:p>
      <w:pPr>
        <w:numPr>
          <w:ilvl w:val="0"/>
          <w:numId w:val="1002"/>
        </w:numPr>
        <w:pStyle w:val="Compact"/>
      </w:pPr>
      <w:r>
        <w:t xml:space="preserve">PLUI</w:t>
      </w:r>
    </w:p>
    <w:p>
      <w:pPr>
        <w:numPr>
          <w:ilvl w:val="0"/>
          <w:numId w:val="1002"/>
        </w:numPr>
        <w:pStyle w:val="Compact"/>
      </w:pPr>
      <w:r>
        <w:t xml:space="preserve">SAGE</w:t>
      </w:r>
    </w:p>
    <w:p>
      <w:pPr>
        <w:numPr>
          <w:ilvl w:val="0"/>
          <w:numId w:val="1002"/>
        </w:numPr>
        <w:pStyle w:val="Compact"/>
      </w:pPr>
      <w:r>
        <w:t xml:space="preserve">PLH</w:t>
      </w:r>
    </w:p>
    <w:p>
      <w:pPr>
        <w:pStyle w:val="FirstParagraph"/>
      </w:pPr>
      <w:r>
        <w:t xml:space="preserve">Liste des contrats figurant dans le CRTE :</w:t>
      </w:r>
    </w:p>
    <w:p>
      <w:pPr>
        <w:numPr>
          <w:ilvl w:val="0"/>
          <w:numId w:val="1003"/>
        </w:numPr>
        <w:pStyle w:val="Compact"/>
      </w:pPr>
      <w:r>
        <w:t xml:space="preserve">Une étude pré-opérationnelle à la faisabilité d’une OPAH sera lancée courant du premier semestre 2022.</w:t>
      </w:r>
    </w:p>
    <w:p>
      <w:pPr>
        <w:numPr>
          <w:ilvl w:val="0"/>
          <w:numId w:val="1003"/>
        </w:numPr>
        <w:pStyle w:val="Compact"/>
      </w:pPr>
      <w:r>
        <w:t xml:space="preserve">Contractualisation avec l’ADIL Afin de développer sur le territoire la tenue de permanences pour l’information sur le logement et l’énergie et ainsi informer la population sur les dispositifs déjà existants</w:t>
      </w:r>
    </w:p>
    <w:p>
      <w:pPr>
        <w:numPr>
          <w:ilvl w:val="0"/>
          <w:numId w:val="1003"/>
        </w:numPr>
        <w:pStyle w:val="Compact"/>
      </w:pPr>
      <w:r>
        <w:t xml:space="preserve">Contrat de ville</w:t>
      </w:r>
    </w:p>
    <w:p>
      <w:pPr>
        <w:numPr>
          <w:ilvl w:val="0"/>
          <w:numId w:val="1003"/>
        </w:numPr>
        <w:pStyle w:val="Compact"/>
      </w:pPr>
      <w:r>
        <w:t xml:space="preserve">Contrat territoire lecture (CTL)</w:t>
      </w:r>
    </w:p>
    <w:p>
      <w:pPr>
        <w:numPr>
          <w:ilvl w:val="0"/>
          <w:numId w:val="1003"/>
        </w:numPr>
        <w:pStyle w:val="Compact"/>
      </w:pPr>
      <w:r>
        <w:t xml:space="preserve">Contrat local de Santé</w:t>
      </w:r>
    </w:p>
    <w:p>
      <w:pPr>
        <w:numPr>
          <w:ilvl w:val="0"/>
          <w:numId w:val="1003"/>
        </w:numPr>
        <w:pStyle w:val="Compact"/>
      </w:pPr>
      <w:r>
        <w:t xml:space="preserve">Contrat de transition écologique</w:t>
      </w:r>
    </w:p>
    <w:p>
      <w:pPr>
        <w:numPr>
          <w:ilvl w:val="0"/>
          <w:numId w:val="1003"/>
        </w:numPr>
        <w:pStyle w:val="Compact"/>
      </w:pPr>
      <w:r>
        <w:t xml:space="preserve">Pacte financier et fiscal</w:t>
      </w:r>
    </w:p>
    <w:p>
      <w:pPr>
        <w:pStyle w:val="FirstParagraph"/>
      </w:pPr>
      <w:r>
        <w:t xml:space="preserve">Liste des programmes de l’ANCT intégrés : Petits villes de demain</w:t>
      </w:r>
    </w:p>
    <w:p>
      <w:pPr>
        <w:pStyle w:val="TextBody"/>
      </w:pPr>
      <w:r>
        <w:t xml:space="preserve">Liste des orientations stratégiques, axes, ambitions, volets, objectifs… :</w:t>
      </w:r>
    </w:p>
    <w:p>
      <w:pPr>
        <w:numPr>
          <w:ilvl w:val="0"/>
          <w:numId w:val="1004"/>
        </w:numPr>
        <w:pStyle w:val="Compact"/>
      </w:pPr>
      <w:r>
        <w:t xml:space="preserve">Projet de territoire Document adopté le 16 décembre 2021.</w:t>
      </w:r>
    </w:p>
    <w:p>
      <w:pPr>
        <w:numPr>
          <w:ilvl w:val="0"/>
          <w:numId w:val="1004"/>
        </w:numPr>
        <w:pStyle w:val="Compact"/>
      </w:pPr>
      <w:r>
        <w:t xml:space="preserve">Orientation 1 : Renforcer l’attractivité et le dynamisme du territoire</w:t>
      </w:r>
    </w:p>
    <w:p>
      <w:pPr>
        <w:numPr>
          <w:ilvl w:val="0"/>
          <w:numId w:val="1004"/>
        </w:numPr>
        <w:pStyle w:val="Compact"/>
      </w:pPr>
      <w:r>
        <w:t xml:space="preserve">Orientation stratégique 1 :Un territoire attractif et résilient ; Cette orientation se décline en plusieurs axes principaux : la mobilité, l’habitat, le développement économique, et l’aménagement. : “Un Plan de Mobilité Simplifié au service d’une véritable stratégie de mobilitéˮ Ainsi, plusieurs actions sont d’ores et déjà engagées telles que : l L’aménagement d’un Pôle d’Echange Multimodal (PEM) autour de la gare de Clermont ; L’élaboration d’un Schéma directeur des modes actifs afin de doter l’intercommunalité d’un réseau d’infrastructures cyclables continu dans les espaces périurbains et ruraux (action 15 du PdMS).; Ou encore le dispositif d’autostop structuré, organisé et sécurisé, Rezo Pouce, en cours de déploiement qui poursuit l’objectif de privilégier les offres de mobilité légères et adaptables dans les espaces périurbains et ruraux (action 23 du PdMS). Par ailleurs, le Pays du Clermontois va prochainement lancer une étude de maîtrise d’oeuvre relative à l’aménagement et l’accessibilité de son réseau de transport collectif, Le Bus.</w:t>
      </w:r>
    </w:p>
    <w:p>
      <w:pPr>
        <w:numPr>
          <w:ilvl w:val="0"/>
          <w:numId w:val="1004"/>
        </w:numPr>
        <w:pStyle w:val="Compact"/>
      </w:pPr>
      <w:r>
        <w:t xml:space="preserve">Un diagnostic exhaustif est en cours sur l’ensemble du territoire intercommunal qui permettra d’avoir une vue d’ensemble de l’habitat et du logement et connaître ainsi les actions à mettre en place</w:t>
      </w:r>
    </w:p>
    <w:p>
      <w:pPr>
        <w:numPr>
          <w:ilvl w:val="0"/>
          <w:numId w:val="1004"/>
        </w:numPr>
        <w:pStyle w:val="Compact"/>
      </w:pPr>
      <w:r>
        <w:t xml:space="preserve">Une attention particulière sera portée sur la reconversion des friches présentes sur le territoire (Friches Fernel, Rabourdin, CHI) afin de répondre aux obligations imposées en matière de réduction de l’artificialisation des sols</w:t>
      </w:r>
    </w:p>
    <w:p>
      <w:pPr>
        <w:numPr>
          <w:ilvl w:val="0"/>
          <w:numId w:val="1004"/>
        </w:numPr>
        <w:pStyle w:val="Compact"/>
      </w:pPr>
      <w:r>
        <w:t xml:space="preserve">Des opérations significatives qui s’inscrivent dans le cadre de la démarche Petite ville de Demain (PVD) représentent des enjeux importants au titre de l’attractivité. Parmi elles, on peut noter : Des friches à reconquérir : l Le CHI de Clermont</w:t>
      </w:r>
    </w:p>
    <w:p>
      <w:pPr>
        <w:numPr>
          <w:ilvl w:val="0"/>
          <w:numId w:val="1004"/>
        </w:numPr>
        <w:pStyle w:val="Compact"/>
      </w:pPr>
      <w:r>
        <w:t xml:space="preserve">La friche Rabourdin à Mouy</w:t>
      </w:r>
    </w:p>
    <w:p>
      <w:pPr>
        <w:numPr>
          <w:ilvl w:val="0"/>
          <w:numId w:val="1004"/>
        </w:numPr>
        <w:pStyle w:val="Compact"/>
      </w:pPr>
      <w:r>
        <w:t xml:space="preserve">La friche SGB à Mouy</w:t>
      </w:r>
    </w:p>
    <w:p>
      <w:pPr>
        <w:numPr>
          <w:ilvl w:val="0"/>
          <w:numId w:val="1004"/>
        </w:numPr>
        <w:pStyle w:val="Compact"/>
      </w:pPr>
      <w:r>
        <w:t xml:space="preserve">Une reconnexion nécessaire avec le patrimoine</w:t>
      </w:r>
    </w:p>
    <w:p>
      <w:pPr>
        <w:numPr>
          <w:ilvl w:val="0"/>
          <w:numId w:val="1004"/>
        </w:numPr>
        <w:pStyle w:val="Compact"/>
      </w:pPr>
      <w:r>
        <w:t xml:space="preserve">Des flux à générer en coeur de ville</w:t>
      </w:r>
    </w:p>
    <w:p>
      <w:pPr>
        <w:numPr>
          <w:ilvl w:val="0"/>
          <w:numId w:val="1004"/>
        </w:numPr>
        <w:pStyle w:val="Compact"/>
      </w:pPr>
      <w:r>
        <w:t xml:space="preserve">Orientation 2 : “Un territoire acteur du développement économique : avec un plan d’actions définis autour de 4 axes de travail : l Accroître le dynamisme du Pays Clermontois et promouvoir le territoire l Accompagner les entreprises existantes et répondre à leurs besoins l Soutenir les créateurs d’entreprises et pérenniser les entreprises existantes l Améliorer l’offre immobilière</w:t>
      </w:r>
    </w:p>
    <w:p>
      <w:pPr>
        <w:numPr>
          <w:ilvl w:val="0"/>
          <w:numId w:val="1004"/>
        </w:numPr>
        <w:pStyle w:val="Compact"/>
      </w:pPr>
      <w:r>
        <w:t xml:space="preserve">Orientation stratégique 2 : Territoire en transition écologique</w:t>
      </w:r>
    </w:p>
    <w:p>
      <w:pPr>
        <w:numPr>
          <w:ilvl w:val="0"/>
          <w:numId w:val="1004"/>
        </w:numPr>
        <w:pStyle w:val="Compact"/>
      </w:pPr>
      <w:r>
        <w:t xml:space="preserve">La préservation de la ressource en eauˮ</w:t>
      </w:r>
    </w:p>
    <w:p>
      <w:pPr>
        <w:numPr>
          <w:ilvl w:val="0"/>
          <w:numId w:val="1004"/>
        </w:numPr>
        <w:pStyle w:val="Compact"/>
      </w:pPr>
      <w:r>
        <w:t xml:space="preserve">Etablir un plan de lutte contre les déchets</w:t>
      </w:r>
    </w:p>
    <w:p>
      <w:pPr>
        <w:numPr>
          <w:ilvl w:val="0"/>
          <w:numId w:val="1004"/>
        </w:numPr>
        <w:pStyle w:val="Compact"/>
      </w:pPr>
      <w:r>
        <w:t xml:space="preserve">Se doter d’un Plan Climat Air Energie Territorial (PCAET)ˮ</w:t>
      </w:r>
    </w:p>
    <w:p>
      <w:pPr>
        <w:numPr>
          <w:ilvl w:val="0"/>
          <w:numId w:val="1004"/>
        </w:numPr>
        <w:pStyle w:val="Compact"/>
      </w:pPr>
      <w:r>
        <w:t xml:space="preserve">la rénovation énergétique :la mise en place de la géothermie à la maison de la petite enfance de Clermont ; l le remplacement de chaudières dans les salles de sport et la réhabilitation de toitures</w:t>
      </w:r>
    </w:p>
    <w:p>
      <w:pPr>
        <w:numPr>
          <w:ilvl w:val="0"/>
          <w:numId w:val="1004"/>
        </w:numPr>
        <w:pStyle w:val="Compact"/>
      </w:pPr>
      <w:r>
        <w:t xml:space="preserve">Orientation stratégique 3 : Le Clermontois, Territoire inclusif</w:t>
      </w:r>
    </w:p>
    <w:p>
      <w:pPr>
        <w:numPr>
          <w:ilvl w:val="0"/>
          <w:numId w:val="1004"/>
        </w:numPr>
        <w:pStyle w:val="Compact"/>
      </w:pPr>
      <w:r>
        <w:t xml:space="preserve">vise également à la transition numérique et le développement d’une politique culturelle ambitieuse pour notre territoire. En effet, cet axe se décline en faveur : l de la culture ; l du numérique ; l de la santé et du sport ; l ainsi que des services à la population</w:t>
      </w:r>
    </w:p>
    <w:p>
      <w:pPr>
        <w:numPr>
          <w:ilvl w:val="0"/>
          <w:numId w:val="1004"/>
        </w:numPr>
        <w:pStyle w:val="Compact"/>
      </w:pPr>
      <w:r>
        <w:t xml:space="preserve">Le CRTE vise également à la transition numérique et le développement d’une politique culturelle ambitieuse pour notre territoire. En effet, cet axe se décline en faveur : l de la culture ; l du numérique ; l de la santé et du sport ; l ainsi que des services à la population</w:t>
      </w:r>
    </w:p>
    <w:p>
      <w:pPr>
        <w:numPr>
          <w:ilvl w:val="0"/>
          <w:numId w:val="1004"/>
        </w:numPr>
        <w:pStyle w:val="Compact"/>
      </w:pPr>
      <w:r>
        <w:t xml:space="preserve">projets visant à réhabiliter le Cinéma, le Centre Aquatique. Le projet de construction d’un nouveau complexe sportif dans le cadre des JO 2024 est</w:t>
      </w:r>
    </w:p>
    <w:p>
      <w:pPr>
        <w:numPr>
          <w:ilvl w:val="0"/>
          <w:numId w:val="1004"/>
        </w:numPr>
        <w:pStyle w:val="Compact"/>
      </w:pPr>
      <w:r>
        <w:t xml:space="preserve">Le projet de réhabilitation de l’espace Fernel en pôle culturel va devenir un centre culturel au rayonnement intercommunal avec une médiathèque, un espace numérique comportant un fab-lab mais aussi les nouveaux locaux du Centre d’animations et de loisirs</w:t>
      </w:r>
    </w:p>
    <w:p>
      <w:pPr>
        <w:numPr>
          <w:ilvl w:val="0"/>
          <w:numId w:val="1004"/>
        </w:numPr>
        <w:pStyle w:val="Compact"/>
      </w:pPr>
      <w:r>
        <w:t xml:space="preserve">…</w:t>
      </w:r>
    </w:p>
    <w:p>
      <w:pPr>
        <w:pStyle w:val="FirstParagraph"/>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Mobilités douces</w:t>
      </w:r>
    </w:p>
    <w:p>
      <w:pPr>
        <w:numPr>
          <w:ilvl w:val="0"/>
          <w:numId w:val="1005"/>
        </w:numPr>
        <w:pStyle w:val="Compact"/>
      </w:pPr>
      <w:r>
        <w:t xml:space="preserve">Organisation des déplacements</w:t>
      </w:r>
    </w:p>
    <w:p>
      <w:pPr>
        <w:numPr>
          <w:ilvl w:val="0"/>
          <w:numId w:val="1005"/>
        </w:numPr>
        <w:pStyle w:val="Compact"/>
      </w:pPr>
      <w:r>
        <w:t xml:space="preserve">Transports en commun</w:t>
      </w:r>
    </w:p>
    <w:p>
      <w:pPr>
        <w:numPr>
          <w:ilvl w:val="0"/>
          <w:numId w:val="1005"/>
        </w:numPr>
        <w:pStyle w:val="Compact"/>
      </w:pPr>
      <w:r>
        <w:t xml:space="preserve">Opération de requalification (friches…)</w:t>
      </w:r>
    </w:p>
    <w:p>
      <w:pPr>
        <w:numPr>
          <w:ilvl w:val="0"/>
          <w:numId w:val="1005"/>
        </w:numPr>
        <w:pStyle w:val="Compact"/>
      </w:pPr>
      <w:r>
        <w:t xml:space="preserve">Espaces publics, espaces verts</w:t>
      </w:r>
    </w:p>
    <w:p>
      <w:pPr>
        <w:numPr>
          <w:ilvl w:val="0"/>
          <w:numId w:val="1005"/>
        </w:numPr>
        <w:pStyle w:val="Compact"/>
      </w:pPr>
      <w:r>
        <w:t xml:space="preserve">Commerce, artisanat de proximité</w:t>
      </w:r>
    </w:p>
    <w:p>
      <w:pPr>
        <w:numPr>
          <w:ilvl w:val="0"/>
          <w:numId w:val="1005"/>
        </w:numPr>
        <w:pStyle w:val="Compact"/>
      </w:pPr>
      <w:r>
        <w:t xml:space="preserve">Vivre ensemble, interdépendance et solidarité</w:t>
      </w:r>
    </w:p>
    <w:p>
      <w:pPr>
        <w:numPr>
          <w:ilvl w:val="0"/>
          <w:numId w:val="1005"/>
        </w:numPr>
        <w:pStyle w:val="Compact"/>
      </w:pPr>
      <w:r>
        <w:t xml:space="preserve">Accès à un logement de qualité</w:t>
      </w:r>
    </w:p>
    <w:p>
      <w:pPr>
        <w:numPr>
          <w:ilvl w:val="0"/>
          <w:numId w:val="1005"/>
        </w:numPr>
        <w:pStyle w:val="Compact"/>
      </w:pPr>
      <w:r>
        <w:t xml:space="preserve">Culture et patrimoine</w:t>
      </w:r>
    </w:p>
    <w:p>
      <w:pPr>
        <w:numPr>
          <w:ilvl w:val="0"/>
          <w:numId w:val="1005"/>
        </w:numPr>
        <w:pStyle w:val="Compact"/>
      </w:pPr>
      <w:r>
        <w:t xml:space="preserve">Sport</w:t>
      </w:r>
    </w:p>
    <w:p>
      <w:pPr>
        <w:numPr>
          <w:ilvl w:val="0"/>
          <w:numId w:val="1005"/>
        </w:numPr>
        <w:pStyle w:val="Compact"/>
      </w:pPr>
      <w:r>
        <w:t xml:space="preserve">Tiers Lieux</w:t>
      </w:r>
    </w:p>
    <w:p>
      <w:pPr>
        <w:numPr>
          <w:ilvl w:val="0"/>
          <w:numId w:val="1005"/>
        </w:numPr>
        <w:pStyle w:val="Compact"/>
      </w:pPr>
      <w:r>
        <w:t xml:space="preserve">Gestion quantitative et qualitative de l’eau</w:t>
      </w:r>
    </w:p>
    <w:p>
      <w:pPr>
        <w:numPr>
          <w:ilvl w:val="0"/>
          <w:numId w:val="1005"/>
        </w:numPr>
        <w:pStyle w:val="Compact"/>
      </w:pPr>
      <w:r>
        <w:t xml:space="preserve">Gestion, valorisation des déchets, réemploi</w:t>
      </w:r>
    </w:p>
    <w:p>
      <w:pPr>
        <w:numPr>
          <w:ilvl w:val="0"/>
          <w:numId w:val="1005"/>
        </w:numPr>
        <w:pStyle w:val="Compact"/>
      </w:pPr>
      <w:r>
        <w:t xml:space="preserve">Efficacité énergétique</w:t>
      </w:r>
    </w:p>
    <w:p>
      <w:pPr>
        <w:numPr>
          <w:ilvl w:val="0"/>
          <w:numId w:val="1005"/>
        </w:numPr>
        <w:pStyle w:val="Compact"/>
      </w:pPr>
      <w:r>
        <w:t xml:space="preserve">Véhicules électriques, hybrides, GNV, bornes de recharge…</w:t>
      </w:r>
    </w:p>
    <w:p>
      <w:pPr>
        <w:numPr>
          <w:ilvl w:val="0"/>
          <w:numId w:val="1005"/>
        </w:numPr>
        <w:pStyle w:val="Compact"/>
      </w:pPr>
      <w:r>
        <w:t xml:space="preserve">Infrastructure(s) et réseaux (numérique, eau,chaleur…)</w:t>
      </w:r>
    </w:p>
    <w:p>
      <w:pPr>
        <w:numPr>
          <w:ilvl w:val="0"/>
          <w:numId w:val="1005"/>
        </w:numPr>
        <w:pStyle w:val="Compact"/>
      </w:pPr>
      <w:r>
        <w:t xml:space="preserve">Usages et inclusion numériques</w:t>
      </w:r>
    </w:p>
    <w:p>
      <w:pPr>
        <w:numPr>
          <w:ilvl w:val="0"/>
          <w:numId w:val="1005"/>
        </w:numPr>
        <w:pStyle w:val="Compact"/>
      </w:pPr>
      <w:r>
        <w:t xml:space="preserve">Santé et soins</w:t>
      </w:r>
    </w:p>
    <w:p>
      <w:pPr>
        <w:numPr>
          <w:ilvl w:val="0"/>
          <w:numId w:val="1005"/>
        </w:numPr>
        <w:pStyle w:val="Compact"/>
      </w:pPr>
      <w:r>
        <w:t xml:space="preserve">Loisirs</w:t>
      </w:r>
    </w:p>
    <w:p>
      <w:pPr>
        <w:pStyle w:val="FirstParagraph"/>
      </w:pPr>
      <w:r>
        <w:t xml:space="preserve">Nombre de fiches action (opération prête à démarrer) : 60</w:t>
      </w:r>
    </w:p>
    <w:p>
      <w:pPr>
        <w:pStyle w:val="TextBody"/>
      </w:pPr>
      <w:r>
        <w:t xml:space="preserve">Nombre de fiches projet (opération à travailler) : 55</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6"/>
        </w:numPr>
        <w:pStyle w:val="Compact"/>
      </w:pPr>
      <w:r>
        <w:t xml:space="preserve">Sous-préfète</w:t>
      </w:r>
    </w:p>
    <w:p>
      <w:pPr>
        <w:numPr>
          <w:ilvl w:val="0"/>
          <w:numId w:val="1006"/>
        </w:numPr>
        <w:pStyle w:val="Compact"/>
      </w:pPr>
      <w:r>
        <w:t xml:space="preserve">financeurs potentiels</w:t>
      </w:r>
    </w:p>
    <w:p>
      <w:pPr>
        <w:numPr>
          <w:ilvl w:val="0"/>
          <w:numId w:val="1006"/>
        </w:numPr>
        <w:pStyle w:val="Compact"/>
      </w:pPr>
      <w:r>
        <w:t xml:space="preserve">Cheffe de projet</w:t>
      </w:r>
    </w:p>
    <w:p>
      <w:pPr>
        <w:numPr>
          <w:ilvl w:val="0"/>
          <w:numId w:val="1006"/>
        </w:numPr>
        <w:pStyle w:val="Compact"/>
      </w:pPr>
      <w:r>
        <w:t xml:space="preserve">Nom: CC du Clermontois, nature: CC, SIREN: 246000376</w:t>
      </w:r>
    </w:p>
    <w:p>
      <w:pPr>
        <w:pStyle w:val="FirstParagraph"/>
      </w:pPr>
      <w:r>
        <w:t xml:space="preserve">Liste des instances de partenariat mobilisées ou créées : Conférence des maires</w:t>
      </w:r>
    </w:p>
    <w:p>
      <w:pPr>
        <w:pStyle w:val="TextBody"/>
      </w:pPr>
      <w:r>
        <w:t xml:space="preserve">Fréquence prévisionnelle annuelle de réunion du COPIL : 1</w:t>
      </w:r>
    </w:p>
    <w:p>
      <w:pPr>
        <w:pStyle w:val="TextBody"/>
      </w:pPr>
      <w:r>
        <w:t xml:space="preserve">Fréquence prévisionnelle annuelle de réunion du comité technique : 1</w:t>
      </w:r>
    </w:p>
    <w:p>
      <w:pPr>
        <w:pStyle w:val="TextBody"/>
      </w:pPr>
      <w:r>
        <w:t xml:space="preserve">Liste des partenaires socio-économiques : Etat, Collectivités, Agences , ADEME, SE60, ANCT, Banque des Territoires, Europe, et syndicats d’énergie</w:t>
      </w:r>
    </w:p>
    <w:p>
      <w:pPr>
        <w:pStyle w:val="TextBody"/>
      </w:pPr>
      <w:r>
        <w:t xml:space="preserve">Démarches de co-construction du CRTE : Concertation élus/techniciens</w:t>
      </w:r>
    </w:p>
    <w:p>
      <w:pPr>
        <w:pStyle w:val="TextBody"/>
      </w:pPr>
      <w:r>
        <w:t xml:space="preserve">Existence d’un volet de coopération interterritoriale (dont volet transfrontalier) : NC</w:t>
      </w:r>
    </w:p>
    <w:p>
      <w:pPr>
        <w:pStyle w:val="TextBody"/>
      </w:pPr>
      <w:r>
        <w:t xml:space="preserve">Domaines d’action publique de la coopération interterritoriale :</w:t>
      </w:r>
    </w:p>
    <w:p>
      <w:pPr>
        <w:pStyle w:val="TextBody"/>
      </w:pPr>
      <w:r>
        <w:t xml:space="preserve">Définition d’indicateurs de suivi des objectifs opérationnels du CRTE : Oui</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Oui</w:t>
      </w:r>
    </w:p>
    <w:p>
      <w:pPr>
        <w:pStyle w:val="TextBody"/>
      </w:pPr>
      <w:r>
        <w:t xml:space="preserve">Recrutement d’un volontaire territorial en administration : Non</w:t>
      </w:r>
    </w:p>
    <w:p>
      <w:pPr>
        <w:pStyle w:val="TextBody"/>
      </w:pPr>
      <w:r>
        <w:t xml:space="preserve">Mobilisation de l’ingénierie locale : ingénierie au sein de l ’EPCI</w:t>
      </w:r>
    </w:p>
    <w:p>
      <w:pPr>
        <w:pStyle w:val="TextBody"/>
      </w:pPr>
      <w:r>
        <w:t xml:space="preserve">Mobilisation d’une ingénierie externe : NON</w:t>
      </w:r>
    </w:p>
    <w:p>
      <w:pPr>
        <w:pStyle w:val="TextBody"/>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494 873€</w:t>
      </w:r>
    </w:p>
    <w:p>
      <w:pPr>
        <w:pStyle w:val="TextBody"/>
      </w:pPr>
      <w:r>
        <w:t xml:space="preserve">Montant total en euros des engagements financiers de l’Etat et de ses opérateurs hors plan de relance : 1.57M€</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2022-05-06T15:22:56Z</dcterms:created>
  <dcterms:modified xsi:type="dcterms:W3CDTF">2022-05-06T15:22:56Z</dcterms:modified>
</cp:coreProperties>
</file>

<file path=docProps/custom.xml><?xml version="1.0" encoding="utf-8"?>
<Properties xmlns="http://schemas.openxmlformats.org/officeDocument/2006/custom-properties" xmlns:vt="http://schemas.openxmlformats.org/officeDocument/2006/docPropsVTypes"/>
</file>