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muriel.depale@oise.gouv.fr</w:t>
      </w:r>
    </w:p>
    <w:p>
      <w:pPr>
        <w:pStyle w:val="TextBody"/>
      </w:pPr>
      <w:r>
        <w:t xml:space="preserve">Date de signature du CRTE : 10 septembre 2021</w:t>
      </w:r>
    </w:p>
    <w:p>
      <w:pPr>
        <w:pStyle w:val="TextBody"/>
      </w:pPr>
      <w:r>
        <w:t xml:space="preserve">Nature juridique de la structure porteuse : Communauté d’Agglomération</w:t>
      </w:r>
    </w:p>
    <w:p>
      <w:pPr>
        <w:pStyle w:val="TextBody"/>
      </w:pPr>
      <w:r>
        <w:t xml:space="preserve">Nom de la structure porteuse : CREIL SUD OISE</w:t>
      </w:r>
    </w:p>
    <w:p>
      <w:pPr>
        <w:pStyle w:val="TextBody"/>
      </w:pPr>
      <w:r>
        <w:t xml:space="preserve">Si protocole de préfiguration : date de signature :</w:t>
      </w:r>
    </w:p>
    <w:p>
      <w:pPr>
        <w:pStyle w:val="Heading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:Nom: CA Creil Sud Oise, nature: CA, SIREN: 200068047</w:t>
      </w:r>
    </w:p>
    <w:p>
      <w:pPr>
        <w:pStyle w:val="Heading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1"/>
        </w:numPr>
        <w:pStyle w:val="Compact"/>
      </w:pPr>
      <w:r>
        <w:t xml:space="preserve">SCOT</w:t>
      </w:r>
    </w:p>
    <w:p>
      <w:pPr>
        <w:numPr>
          <w:ilvl w:val="0"/>
          <w:numId w:val="1001"/>
        </w:numPr>
        <w:pStyle w:val="Compact"/>
      </w:pPr>
      <w:r>
        <w:t xml:space="preserve">PLH</w:t>
      </w:r>
    </w:p>
    <w:p>
      <w:pPr>
        <w:numPr>
          <w:ilvl w:val="0"/>
          <w:numId w:val="1001"/>
        </w:numPr>
        <w:pStyle w:val="Compact"/>
      </w:pPr>
      <w:r>
        <w:t xml:space="preserve">PCAET</w:t>
      </w:r>
    </w:p>
    <w:p>
      <w:pPr>
        <w:numPr>
          <w:ilvl w:val="0"/>
          <w:numId w:val="1001"/>
        </w:numPr>
        <w:pStyle w:val="Compact"/>
      </w:pPr>
      <w:r>
        <w:t xml:space="preserve">PAPI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2"/>
        </w:numPr>
        <w:pStyle w:val="Compact"/>
      </w:pPr>
      <w:r>
        <w:t xml:space="preserve">Contrat de sécurité intégrée</w:t>
      </w:r>
    </w:p>
    <w:p>
      <w:pPr>
        <w:numPr>
          <w:ilvl w:val="0"/>
          <w:numId w:val="1002"/>
        </w:numPr>
        <w:pStyle w:val="Compact"/>
      </w:pPr>
      <w:r>
        <w:t xml:space="preserve">Contrat de ville</w:t>
      </w:r>
    </w:p>
    <w:p>
      <w:pPr>
        <w:numPr>
          <w:ilvl w:val="0"/>
          <w:numId w:val="1002"/>
        </w:numPr>
        <w:pStyle w:val="Compact"/>
      </w:pPr>
      <w:r>
        <w:t xml:space="preserve">Contrat local de Santé</w:t>
      </w:r>
    </w:p>
    <w:p>
      <w:pPr>
        <w:numPr>
          <w:ilvl w:val="0"/>
          <w:numId w:val="1002"/>
        </w:numPr>
        <w:pStyle w:val="Compact"/>
      </w:pPr>
      <w:r>
        <w:t xml:space="preserve">Convention ANRU</w:t>
      </w:r>
    </w:p>
    <w:p>
      <w:pPr>
        <w:numPr>
          <w:ilvl w:val="0"/>
          <w:numId w:val="1002"/>
        </w:numPr>
        <w:pStyle w:val="Compact"/>
      </w:pPr>
      <w:r>
        <w:t xml:space="preserve">CRSD</w:t>
      </w:r>
    </w:p>
    <w:p>
      <w:pPr>
        <w:numPr>
          <w:ilvl w:val="0"/>
          <w:numId w:val="1002"/>
        </w:numPr>
        <w:pStyle w:val="Compact"/>
      </w:pPr>
      <w:r>
        <w:t xml:space="preserve">OPAH</w:t>
      </w:r>
    </w:p>
    <w:p>
      <w:pPr>
        <w:numPr>
          <w:ilvl w:val="0"/>
          <w:numId w:val="1002"/>
        </w:numPr>
        <w:pStyle w:val="Compact"/>
      </w:pPr>
      <w:r>
        <w:t xml:space="preserve">ORT</w:t>
      </w:r>
    </w:p>
    <w:p>
      <w:pPr>
        <w:numPr>
          <w:ilvl w:val="0"/>
          <w:numId w:val="1002"/>
        </w:numPr>
        <w:pStyle w:val="Compact"/>
      </w:pPr>
      <w:r>
        <w:t xml:space="preserve">Plan de protection de l’atmosphère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3"/>
        </w:numPr>
        <w:pStyle w:val="Compact"/>
      </w:pPr>
      <w:r>
        <w:t xml:space="preserve">Action cœur de ville</w:t>
      </w:r>
    </w:p>
    <w:p>
      <w:pPr>
        <w:numPr>
          <w:ilvl w:val="0"/>
          <w:numId w:val="1003"/>
        </w:numPr>
        <w:pStyle w:val="Compact"/>
      </w:pPr>
      <w:r>
        <w:t xml:space="preserve">Cités de l’emploi</w:t>
      </w:r>
    </w:p>
    <w:p>
      <w:pPr>
        <w:numPr>
          <w:ilvl w:val="0"/>
          <w:numId w:val="1003"/>
        </w:numPr>
        <w:pStyle w:val="Compact"/>
      </w:pPr>
      <w:r>
        <w:t xml:space="preserve">Cités éducatives</w:t>
      </w:r>
    </w:p>
    <w:p>
      <w:pPr>
        <w:numPr>
          <w:ilvl w:val="0"/>
          <w:numId w:val="1003"/>
        </w:numPr>
        <w:pStyle w:val="Compact"/>
      </w:pPr>
      <w:r>
        <w:t xml:space="preserve">Conseillers numériques France services</w:t>
      </w:r>
    </w:p>
    <w:p>
      <w:pPr>
        <w:numPr>
          <w:ilvl w:val="0"/>
          <w:numId w:val="1003"/>
        </w:numPr>
        <w:pStyle w:val="Compact"/>
      </w:pPr>
      <w:r>
        <w:t xml:space="preserve">France services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4"/>
        </w:numPr>
        <w:pStyle w:val="Compact"/>
      </w:pPr>
      <w:r>
        <w:t xml:space="preserve">Aménagement durable et résilience territoriale : reconversion lycée Gournay,requalification site Goss,aménagement place St Médard,réhabilitation halle Fichet,Ec’eau port, réhabilitationsite Pont Royal, parcours souvenir St Maximin,aménagement centre bourg Montataire,extension complexe Marie Curie,logements Thiverny,logements NPNRU/bords de l’Oise, gare coeur d’agglo, construction passerelle Creil/Nogent,</w:t>
      </w:r>
    </w:p>
    <w:p>
      <w:pPr>
        <w:numPr>
          <w:ilvl w:val="0"/>
          <w:numId w:val="1004"/>
        </w:numPr>
        <w:pStyle w:val="Compact"/>
      </w:pPr>
      <w:r>
        <w:t xml:space="preserve">Mobilité décarbonée: voies douces bords de l’Oise, vélostation en gare de Creil, renouvellement flotte transports en commun, voie douce entre Cramoisy et Montataire</w:t>
      </w:r>
    </w:p>
    <w:p>
      <w:pPr>
        <w:numPr>
          <w:ilvl w:val="0"/>
          <w:numId w:val="1004"/>
        </w:numPr>
        <w:pStyle w:val="Compact"/>
      </w:pPr>
      <w:r>
        <w:t xml:space="preserve">Performance énergétique : rénovation batiments communaux, rénovation énergétique bâtiments privés</w:t>
      </w:r>
    </w:p>
    <w:p>
      <w:pPr>
        <w:numPr>
          <w:ilvl w:val="0"/>
          <w:numId w:val="1004"/>
        </w:numPr>
        <w:pStyle w:val="Compact"/>
      </w:pPr>
      <w:r>
        <w:t xml:space="preserve">Eénergies renouvelables : projet Photosol</w:t>
      </w:r>
    </w:p>
    <w:p>
      <w:pPr>
        <w:numPr>
          <w:ilvl w:val="0"/>
          <w:numId w:val="1004"/>
        </w:numPr>
        <w:pStyle w:val="Compact"/>
      </w:pPr>
      <w:r>
        <w:t xml:space="preserve">Economie circulaire et circuits courtsvalorisation des déchets,projet de ferme urbaine,parc urbain agricole,maraichage public/privé</w:t>
      </w:r>
    </w:p>
    <w:p>
      <w:pPr>
        <w:numPr>
          <w:ilvl w:val="0"/>
          <w:numId w:val="1004"/>
        </w:numPr>
        <w:pStyle w:val="Compact"/>
      </w:pPr>
      <w:r>
        <w:t xml:space="preserve">Tourisme vert :pierres et nénuphars à St Vaast les Mello, refonte signalétique projets de grande randonnée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TextBody"/>
      </w:pPr>
      <w:r>
        <w:t xml:space="preserve">Mise à jour du projet de territoire avec l’élaboration du CRTE : Oui</w:t>
      </w:r>
    </w:p>
    <w:p>
      <w:pPr>
        <w:pStyle w:val="Heading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5"/>
        </w:numPr>
        <w:pStyle w:val="Compact"/>
      </w:pPr>
      <w:r>
        <w:t xml:space="preserve">Circuits courts agricoles</w:t>
      </w:r>
    </w:p>
    <w:p>
      <w:pPr>
        <w:numPr>
          <w:ilvl w:val="0"/>
          <w:numId w:val="1005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05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5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5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05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5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5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5"/>
        </w:numPr>
        <w:pStyle w:val="Compact"/>
      </w:pPr>
      <w:r>
        <w:t xml:space="preserve">Ecologie industrielle et économie collaborative</w:t>
      </w:r>
    </w:p>
    <w:p>
      <w:pPr>
        <w:numPr>
          <w:ilvl w:val="0"/>
          <w:numId w:val="1005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5"/>
        </w:numPr>
        <w:pStyle w:val="Compact"/>
      </w:pPr>
      <w:r>
        <w:t xml:space="preserve">Economie sociale et solidaire</w:t>
      </w:r>
    </w:p>
    <w:p>
      <w:pPr>
        <w:numPr>
          <w:ilvl w:val="0"/>
          <w:numId w:val="1005"/>
        </w:numPr>
        <w:pStyle w:val="Compact"/>
      </w:pPr>
      <w:r>
        <w:t xml:space="preserve">Emploi et Insertion</w:t>
      </w:r>
    </w:p>
    <w:p>
      <w:pPr>
        <w:numPr>
          <w:ilvl w:val="0"/>
          <w:numId w:val="1005"/>
        </w:numPr>
        <w:pStyle w:val="Compact"/>
      </w:pPr>
      <w:r>
        <w:t xml:space="preserve">Soutien aux filières innovantes et de R&amp;D</w:t>
      </w:r>
    </w:p>
    <w:p>
      <w:pPr>
        <w:numPr>
          <w:ilvl w:val="0"/>
          <w:numId w:val="1005"/>
        </w:numPr>
        <w:pStyle w:val="Compact"/>
      </w:pPr>
      <w:r>
        <w:t xml:space="preserve">Tourisme durable</w:t>
      </w:r>
    </w:p>
    <w:p>
      <w:pPr>
        <w:numPr>
          <w:ilvl w:val="0"/>
          <w:numId w:val="1005"/>
        </w:numPr>
        <w:pStyle w:val="Compact"/>
      </w:pPr>
      <w:r>
        <w:t xml:space="preserve">Economie, production et consommation durable</w:t>
      </w:r>
    </w:p>
    <w:p>
      <w:pPr>
        <w:numPr>
          <w:ilvl w:val="0"/>
          <w:numId w:val="1005"/>
        </w:numPr>
        <w:pStyle w:val="Compact"/>
      </w:pPr>
      <w:r>
        <w:t xml:space="preserve">Efficacité énergétique</w:t>
      </w:r>
    </w:p>
    <w:p>
      <w:pPr>
        <w:numPr>
          <w:ilvl w:val="0"/>
          <w:numId w:val="1005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5"/>
        </w:numPr>
        <w:pStyle w:val="Compact"/>
      </w:pPr>
      <w:r>
        <w:t xml:space="preserve">Mobilités douces</w:t>
      </w:r>
    </w:p>
    <w:p>
      <w:pPr>
        <w:numPr>
          <w:ilvl w:val="0"/>
          <w:numId w:val="1005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5"/>
        </w:numPr>
        <w:pStyle w:val="Compact"/>
      </w:pPr>
      <w:r>
        <w:t xml:space="preserve">Transports en commun</w:t>
      </w:r>
    </w:p>
    <w:p>
      <w:pPr>
        <w:numPr>
          <w:ilvl w:val="0"/>
          <w:numId w:val="1005"/>
        </w:numPr>
        <w:pStyle w:val="Compact"/>
      </w:pPr>
      <w:r>
        <w:t xml:space="preserve">Véhicules électriques, hybrides, GNV, bornes de recharge…</w:t>
      </w:r>
    </w:p>
    <w:p>
      <w:pPr>
        <w:numPr>
          <w:ilvl w:val="0"/>
          <w:numId w:val="1005"/>
        </w:numPr>
        <w:pStyle w:val="Compact"/>
      </w:pPr>
      <w:r>
        <w:t xml:space="preserve">Culture et patrimoine</w:t>
      </w:r>
    </w:p>
    <w:p>
      <w:pPr>
        <w:numPr>
          <w:ilvl w:val="0"/>
          <w:numId w:val="1005"/>
        </w:numPr>
        <w:pStyle w:val="Compact"/>
      </w:pPr>
      <w:r>
        <w:t xml:space="preserve">Sport</w:t>
      </w:r>
    </w:p>
    <w:p>
      <w:pPr>
        <w:numPr>
          <w:ilvl w:val="0"/>
          <w:numId w:val="1005"/>
        </w:numPr>
        <w:pStyle w:val="Compact"/>
      </w:pPr>
      <w:r>
        <w:t xml:space="preserve">Loisirs</w:t>
      </w:r>
    </w:p>
    <w:p>
      <w:pPr>
        <w:numPr>
          <w:ilvl w:val="0"/>
          <w:numId w:val="1005"/>
        </w:numPr>
        <w:pStyle w:val="Compact"/>
      </w:pPr>
      <w:r>
        <w:t xml:space="preserve">Education</w:t>
      </w:r>
    </w:p>
    <w:p>
      <w:pPr>
        <w:numPr>
          <w:ilvl w:val="0"/>
          <w:numId w:val="1005"/>
        </w:numPr>
        <w:pStyle w:val="Compact"/>
      </w:pPr>
      <w:r>
        <w:t xml:space="preserve">Sûreté et sécurité</w:t>
      </w:r>
    </w:p>
    <w:p>
      <w:pPr>
        <w:numPr>
          <w:ilvl w:val="0"/>
          <w:numId w:val="1005"/>
        </w:numPr>
        <w:pStyle w:val="Compact"/>
      </w:pPr>
      <w:r>
        <w:t xml:space="preserve">Accès à un logement de qualité</w:t>
      </w:r>
    </w:p>
    <w:p>
      <w:pPr>
        <w:pStyle w:val="FirstParagraph"/>
      </w:pPr>
      <w:r>
        <w:t xml:space="preserve">Nombre de fiches action (opération prête à démarrer) : 22</w:t>
      </w:r>
    </w:p>
    <w:p>
      <w:pPr>
        <w:pStyle w:val="TextBody"/>
      </w:pPr>
      <w:r>
        <w:t xml:space="preserve">Nombre de fiches projet (opération à travailler) : 31</w:t>
      </w:r>
    </w:p>
    <w:p>
      <w:pPr>
        <w:pStyle w:val="Heading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6"/>
        </w:numPr>
        <w:pStyle w:val="Compact"/>
      </w:pPr>
      <w:r>
        <w:t xml:space="preserve">Nom: CA Creil Sud Oise, nature: CA, SIREN: 200068047</w:t>
      </w:r>
    </w:p>
    <w:p>
      <w:pPr>
        <w:numPr>
          <w:ilvl w:val="0"/>
          <w:numId w:val="1006"/>
        </w:numPr>
        <w:pStyle w:val="Compact"/>
      </w:pPr>
      <w:r>
        <w:t xml:space="preserve">Nom: Oise, nature: departement, SIREN: 60</w:t>
      </w:r>
    </w:p>
    <w:p>
      <w:pPr>
        <w:numPr>
          <w:ilvl w:val="0"/>
          <w:numId w:val="1006"/>
        </w:numPr>
        <w:pStyle w:val="Compact"/>
      </w:pPr>
      <w:r>
        <w:t xml:space="preserve">Nom: Hauts-de-France, nature: region, SIREN: 32</w:t>
      </w:r>
    </w:p>
    <w:p>
      <w:pPr>
        <w:pStyle w:val="FirstParagraph"/>
      </w:pPr>
      <w:r>
        <w:t xml:space="preserve">Liste des instances de partenariat mobilisées ou créées : Conférence des maires</w:t>
      </w:r>
    </w:p>
    <w:p>
      <w:pPr>
        <w:pStyle w:val="TextBody"/>
      </w:pPr>
      <w:r>
        <w:t xml:space="preserve">Fréquence prévisionnelle annuelle de réunion du COPIL : 2</w:t>
      </w:r>
    </w:p>
    <w:p>
      <w:pPr>
        <w:pStyle w:val="TextBody"/>
      </w:pPr>
      <w:r>
        <w:t xml:space="preserve">Fréquence prévisionnelle annuelle de réunion du comité technique : 2</w:t>
      </w:r>
    </w:p>
    <w:p>
      <w:pPr>
        <w:pStyle w:val="TextBody"/>
      </w:pPr>
      <w:r>
        <w:t xml:space="preserve">Liste des partenaires socio-économiques :</w:t>
      </w:r>
    </w:p>
    <w:p>
      <w:pPr>
        <w:pStyle w:val="TextBody"/>
      </w:pPr>
      <w:r>
        <w:t xml:space="preserve">Démarches de co-construction du CRTE :</w:t>
      </w:r>
    </w:p>
    <w:p>
      <w:pPr>
        <w:pStyle w:val="TextBody"/>
      </w:pPr>
      <w:r>
        <w:t xml:space="preserve">Existence d’un volet de coopération interterritoriale (dont volet transfrontalier) : NC</w:t>
      </w:r>
    </w:p>
    <w:p>
      <w:pPr>
        <w:pStyle w:val="TextBody"/>
      </w:pPr>
      <w:r>
        <w:t xml:space="preserve">Domaines d’action publique de la coopération interterritoriale :</w:t>
      </w:r>
    </w:p>
    <w:p>
      <w:pPr>
        <w:pStyle w:val="TextBody"/>
      </w:pPr>
      <w:r>
        <w:t xml:space="preserve">Définition d’indicateurs de suivi des objectifs opérationnels du CRTE : NC</w:t>
      </w:r>
    </w:p>
    <w:p>
      <w:pPr>
        <w:pStyle w:val="TextBody"/>
      </w:pPr>
      <w:r>
        <w:t xml:space="preserve">État des lieux écologique renseigné à l’aune des 13 indicateurs du socle national : NC</w:t>
      </w:r>
    </w:p>
    <w:p>
      <w:pPr>
        <w:pStyle w:val="TextBody"/>
      </w:pPr>
      <w:r>
        <w:t xml:space="preserve">Recours à la grille d’analyse ex-ante des actions : NC</w:t>
      </w:r>
    </w:p>
    <w:p>
      <w:pPr>
        <w:pStyle w:val="Heading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</w:t>
      </w:r>
    </w:p>
    <w:p>
      <w:pPr>
        <w:pStyle w:val="TextBody"/>
      </w:pPr>
      <w:r>
        <w:t xml:space="preserve">Recrutement d’un volontaire territorial en administration :</w:t>
      </w:r>
    </w:p>
    <w:p>
      <w:pPr>
        <w:pStyle w:val="TextBody"/>
      </w:pPr>
      <w:r>
        <w:t xml:space="preserve">Mobilisation de l’ingénierie locale :</w:t>
      </w:r>
    </w:p>
    <w:p>
      <w:pPr>
        <w:pStyle w:val="TextBody"/>
      </w:pPr>
      <w:r>
        <w:t xml:space="preserve">Mobilisation d’une ingénierie externe :</w:t>
      </w:r>
    </w:p>
    <w:p>
      <w:pPr>
        <w:pStyle w:val="TextBody"/>
      </w:pPr>
      <w:r>
        <w:t xml:space="preserve">Existence d’une maquette financière annexée (ou d’un état récapitulatif des différents financements) au jour de la signature du contrat : NC</w:t>
      </w:r>
    </w:p>
    <w:p>
      <w:pPr>
        <w:pStyle w:val="TextBody"/>
      </w:pPr>
      <w:r>
        <w:t xml:space="preserve">Montant total prévisionnel en euros des actions en dépenses de fonctionnement : 0€</w:t>
      </w:r>
    </w:p>
    <w:p>
      <w:pPr>
        <w:pStyle w:val="TextBody"/>
      </w:pPr>
      <w:r>
        <w:t xml:space="preserve">Montant total prévisionnel en euros des actions en dépenses d’investissement : 0€</w:t>
      </w:r>
    </w:p>
    <w:p>
      <w:pPr>
        <w:pStyle w:val="TextBody"/>
      </w:pPr>
      <w:r>
        <w:t xml:space="preserve">Montant total en euros des engagements financiers des collectivités locales et leurs établissements publics : 0€</w:t>
      </w:r>
    </w:p>
    <w:p>
      <w:pPr>
        <w:pStyle w:val="TextBody"/>
      </w:pPr>
      <w:r>
        <w:t xml:space="preserve">Montant total en euros des engagements financiers de l’Etat et de ses opérateurs Plan de relance : 0€</w:t>
      </w:r>
    </w:p>
    <w:p>
      <w:pPr>
        <w:pStyle w:val="TextBody"/>
      </w:pPr>
      <w:r>
        <w:t xml:space="preserve">Montant total en euros des engagements financiers de l’Etat et de ses opérateurs hors plan de relance : 0€</w:t>
      </w:r>
    </w:p>
    <w:p>
      <w:pPr>
        <w:pStyle w:val="TextBody"/>
      </w:pPr>
      <w:r>
        <w:t xml:space="preserve">Montant total prévisionnel en euros des cofinancements européens : 0€</w:t>
      </w:r>
    </w:p>
    <w:p>
      <w:pPr>
        <w:pStyle w:val="TextBody"/>
      </w:pPr>
      <w:r>
        <w:t xml:space="preserve">Montant total prévisionnel en euros des cofinancements privés : 0€</w:t>
      </w:r>
    </w:p>
    <w:p>
      <w:pPr>
        <w:pStyle w:val="TextBody"/>
      </w:pPr>
      <w:r>
        <w:t xml:space="preserve">Montant en euros des engagements financiers de la Banque des territoires : 0€</w:t>
      </w:r>
    </w:p>
    <w:sectPr>
      <w:headerReference w:type="default" r:id="rId9"/>
      <w:headerReference w:type="first" r:id="rId10"/>
      <w:footnotePr>
        <w:numFmt w:val="decimal"/>
      </w:footnotePr>
      <w:type w:val="nextPage"/>
      <w:pgSz w:w="12240" w:h="15840"/>
      <w:pgMar w:left="1440" w:right="1440" w:gutter="0" w:header="1440" w:top="2220" w:footer="0" w:bottom="1440"/>
      <w:pgNumType w:fmt="decimal"/>
      <w:formProt w:val="false"/>
      <w:titlePg/>
      <w:textDirection w:val="lrTb"/>
      <w:docGrid w:type="default" w:linePitch="100" w:charSpace="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Marianne">
    <w:charset w:val="01"/>
    <w:family w:val="auto"/>
    <w:pitch w:val="variable"/>
  </w:font>
  <w:font w:name="Consolas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libri">
    <w:charset w:val="01"/>
    <w:family w:val="roman"/>
    <w:pitch w:val="variable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  <w:drawing>
        <wp:anchor behindDoc="1" distT="0" distB="0" distL="114300" distR="114300" simplePos="0" locked="0" layoutInCell="0" allowOverlap="1" relativeHeight="2">
          <wp:simplePos x="0" y="0"/>
          <wp:positionH relativeFrom="column">
            <wp:posOffset>-948690</wp:posOffset>
          </wp:positionH>
          <wp:positionV relativeFrom="paragraph">
            <wp:posOffset>-1529715</wp:posOffset>
          </wp:positionV>
          <wp:extent cx="7772400" cy="1844040"/>
          <wp:effectExtent l="0" t="0" r="0" b="0"/>
          <wp:wrapTopAndBottom/>
          <wp:docPr id="1" name="Imag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844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" w:asciiTheme="minorHAnsi" w:cstheme="minorBidi" w:eastAsiaTheme="minorHAnsi" w:hAnsiTheme="minorHAnsi"/>
        <w:sz w:val="24"/>
        <w:szCs w:val="24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76"/>
  <w:style w:type="paragraph" w:styleId="Normal" w:default="1">
    <w:name w:val="Normal"/>
    <w:qFormat/>
    <w:pPr>
      <w:widowControl/>
      <w:bidi w:val="0"/>
      <w:spacing w:before="0" w:after="200"/>
      <w:jc w:val="left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Heading1">
    <w:name w:val="Heading 1"/>
    <w:basedOn w:val="Normal"/>
    <w:next w:val="TextBody"/>
    <w:uiPriority w:val="9"/>
    <w:qFormat/>
    <w:pPr>
      <w:keepNext w:val="true"/>
      <w:keepLines/>
      <w:spacing w:before="480" w:after="0"/>
      <w:jc w:val="center"/>
      <w:outlineLvl w:val="0"/>
    </w:pPr>
    <w:rPr>
      <w:rFonts w:ascii="Marianne" w:hAnsi="Marianne" w:eastAsia="" w:cs="" w:cstheme="majorBidi" w:eastAsiaTheme="majorEastAsia"/>
      <w:b/>
      <w:bCs/>
      <w:color w:val="293173"/>
      <w:sz w:val="36"/>
      <w:szCs w:val="32"/>
    </w:rPr>
  </w:style>
  <w:style w:type="paragraph" w:styleId="Heading2">
    <w:name w:val="Heading 2"/>
    <w:basedOn w:val="Normal"/>
    <w:next w:val="TextBody"/>
    <w:uiPriority w:val="9"/>
    <w:unhideWhenUsed/>
    <w:qFormat/>
    <w:pPr>
      <w:keepNext w:val="true"/>
      <w:keepLines/>
      <w:spacing w:before="200" w:after="0"/>
      <w:outlineLvl w:val="1"/>
    </w:pPr>
    <w:rPr>
      <w:rFonts w:ascii="Marianne" w:hAnsi="Marianne" w:eastAsia="" w:cs="" w:cstheme="majorBidi" w:eastAsiaTheme="majorEastAsia"/>
      <w:b/>
      <w:bCs/>
      <w:color w:val="E10814"/>
      <w:sz w:val="28"/>
      <w:szCs w:val="28"/>
    </w:rPr>
  </w:style>
  <w:style w:type="paragraph" w:styleId="Heading3">
    <w:name w:val="Heading 3"/>
    <w:basedOn w:val="Normal"/>
    <w:next w:val="TextBody"/>
    <w:uiPriority w:val="9"/>
    <w:unhideWhenUsed/>
    <w:qFormat/>
    <w:pPr>
      <w:keepNext w:val="true"/>
      <w:keepLines/>
      <w:spacing w:before="200" w:after="0"/>
      <w:outlineLvl w:val="2"/>
    </w:pPr>
    <w:rPr>
      <w:rFonts w:ascii="Marianne" w:hAnsi="Marianne" w:eastAsia="" w:cs="" w:cstheme="majorBidi" w:eastAsiaTheme="majorEastAsia"/>
      <w:b/>
      <w:bCs/>
      <w:color w:val="4F81BD" w:themeColor="accent1"/>
      <w:sz w:val="24"/>
      <w:szCs w:val="24"/>
    </w:rPr>
  </w:style>
  <w:style w:type="paragraph" w:styleId="Heading4">
    <w:name w:val="Heading 4"/>
    <w:basedOn w:val="Normal"/>
    <w:next w:val="TextBody"/>
    <w:uiPriority w:val="9"/>
    <w:unhideWhenUsed/>
    <w:qFormat/>
    <w:pPr>
      <w:keepNext w:val="true"/>
      <w:keepLines/>
      <w:spacing w:before="200" w:after="0"/>
      <w:outlineLvl w:val="3"/>
    </w:pPr>
    <w:rPr>
      <w:rFonts w:ascii="Marianne" w:hAnsi="Marianne" w:eastAsia="" w:cs="" w:cstheme="majorBidi" w:eastAsiaTheme="majorEastAsia"/>
      <w:bCs/>
      <w:i/>
      <w:color w:val="4F81BD" w:themeColor="accent1"/>
      <w:sz w:val="24"/>
      <w:szCs w:val="24"/>
    </w:rPr>
  </w:style>
  <w:style w:type="paragraph" w:styleId="Heading5">
    <w:name w:val="Heading 5"/>
    <w:basedOn w:val="Normal"/>
    <w:next w:val="TextBody"/>
    <w:uiPriority w:val="9"/>
    <w:unhideWhenUsed/>
    <w:qFormat/>
    <w:pPr>
      <w:keepNext w:val="true"/>
      <w:keepLines/>
      <w:spacing w:before="200" w:after="0"/>
      <w:outlineLvl w:val="4"/>
    </w:pPr>
    <w:rPr>
      <w:rFonts w:ascii="Marianne" w:hAnsi="Marianne" w:eastAsia="" w:cs="" w:cstheme="majorBidi" w:eastAsiaTheme="majorEastAsia"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TextBody"/>
    <w:uiPriority w:val="9"/>
    <w:unhideWhenUsed/>
    <w:qFormat/>
    <w:pPr>
      <w:keepNext w:val="true"/>
      <w:keepLines/>
      <w:spacing w:before="200" w:after="0"/>
      <w:outlineLvl w:val="5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7">
    <w:name w:val="Heading 7"/>
    <w:basedOn w:val="Normal"/>
    <w:next w:val="TextBody"/>
    <w:uiPriority w:val="9"/>
    <w:unhideWhenUsed/>
    <w:qFormat/>
    <w:pPr>
      <w:keepNext w:val="true"/>
      <w:keepLines/>
      <w:spacing w:before="200" w:after="0"/>
      <w:outlineLvl w:val="6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8">
    <w:name w:val="Heading 8"/>
    <w:basedOn w:val="Normal"/>
    <w:next w:val="TextBody"/>
    <w:uiPriority w:val="9"/>
    <w:unhideWhenUsed/>
    <w:qFormat/>
    <w:pPr>
      <w:keepNext w:val="true"/>
      <w:keepLines/>
      <w:spacing w:before="200" w:after="0"/>
      <w:outlineLvl w:val="7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9">
    <w:name w:val="Heading 9"/>
    <w:basedOn w:val="Normal"/>
    <w:next w:val="TextBody"/>
    <w:uiPriority w:val="9"/>
    <w:unhideWhenUsed/>
    <w:qFormat/>
    <w:pPr>
      <w:keepNext w:val="true"/>
      <w:keepLines/>
      <w:spacing w:before="200" w:after="0"/>
      <w:outlineLvl w:val="8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character" w:styleId="DefaultParagraphFont" w:default="1">
    <w:name w:val="Default Paragraph Font"/>
    <w:semiHidden/>
    <w:unhideWhenUsed/>
    <w:qFormat/>
    <w:rPr/>
  </w:style>
  <w:style w:type="character" w:styleId="BodyTextChar" w:customStyle="1">
    <w:name w:val="Body Text Char"/>
    <w:basedOn w:val="DefaultParagraphFont"/>
    <w:link w:val="BodyText"/>
    <w:qFormat/>
    <w:rPr/>
  </w:style>
  <w:style w:type="character" w:styleId="VerbatimChar" w:customStyle="1">
    <w:name w:val="Verbatim Char"/>
    <w:basedOn w:val="BodyTextChar"/>
    <w:qFormat/>
    <w:rPr>
      <w:rFonts w:ascii="Consolas" w:hAnsi="Consolas"/>
      <w:sz w:val="22"/>
    </w:rPr>
  </w:style>
  <w:style w:type="character" w:styleId="FootnoteCharacters">
    <w:name w:val="Footnote Characters"/>
    <w:basedOn w:val="BodyTextChar"/>
    <w:qFormat/>
    <w:rPr>
      <w:vertAlign w:val="superscript"/>
    </w:rPr>
  </w:style>
  <w:style w:type="character" w:styleId="FootnoteAnchor">
    <w:name w:val="Footnote Anchor"/>
    <w:rPr>
      <w:vertAlign w:val="superscript"/>
    </w:rPr>
  </w:style>
  <w:style w:type="character" w:styleId="InternetLink">
    <w:name w:val="Hyperlink"/>
    <w:basedOn w:val="BodyTextChar"/>
    <w:rPr>
      <w:color w:val="4F81BD" w:themeColor="accent1"/>
    </w:rPr>
  </w:style>
  <w:style w:type="character" w:styleId="EndnoteAnchor">
    <w:name w:val="Endnote Anchor"/>
    <w:rPr>
      <w:vertAlign w:val="superscript"/>
    </w:rPr>
  </w:style>
  <w:style w:type="character" w:styleId="EndnoteCharacters">
    <w:name w:val="Endnote Character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link w:val="BodyTextChar"/>
    <w:qFormat/>
    <w:pPr>
      <w:spacing w:before="180" w:after="18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link w:val="BodyTextChar"/>
    <w:qFormat/>
    <w:pPr>
      <w:spacing w:before="0" w:after="120"/>
    </w:pPr>
    <w:rPr>
      <w:i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FirstParagraph" w:customStyle="1">
    <w:name w:val="First Paragraph"/>
    <w:basedOn w:val="TextBody"/>
    <w:next w:val="TextBody"/>
    <w:qFormat/>
    <w:pPr/>
    <w:rPr/>
  </w:style>
  <w:style w:type="paragraph" w:styleId="Compact" w:customStyle="1">
    <w:name w:val="Compact"/>
    <w:basedOn w:val="TextBody"/>
    <w:qFormat/>
    <w:pPr>
      <w:spacing w:before="36" w:after="36"/>
    </w:pPr>
    <w:rPr/>
  </w:style>
  <w:style w:type="paragraph" w:styleId="Title">
    <w:name w:val="Title"/>
    <w:basedOn w:val="Normal"/>
    <w:next w:val="TextBody"/>
    <w:qFormat/>
    <w:pPr>
      <w:keepNext w:val="true"/>
      <w:keepLines/>
      <w:spacing w:before="480" w:after="240"/>
      <w:jc w:val="center"/>
    </w:pPr>
    <w:rPr>
      <w:rFonts w:ascii="Marianne" w:hAnsi="Marianne" w:eastAsia="" w:cs="" w:cstheme="majorBidi" w:eastAsiaTheme="majorEastAsia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TextBody"/>
    <w:qFormat/>
    <w:pPr>
      <w:keepNext w:val="true"/>
      <w:keepLines/>
      <w:spacing w:before="240" w:after="240"/>
      <w:jc w:val="center"/>
    </w:pPr>
    <w:rPr>
      <w:sz w:val="30"/>
      <w:szCs w:val="30"/>
    </w:rPr>
  </w:style>
  <w:style w:type="paragraph" w:styleId="Author" w:customStyle="1">
    <w:name w:val="Author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Date">
    <w:name w:val="Date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Abstract" w:customStyle="1">
    <w:name w:val="Abstract"/>
    <w:basedOn w:val="Normal"/>
    <w:next w:val="TextBody"/>
    <w:qFormat/>
    <w:pPr>
      <w:keepNext w:val="true"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qFormat/>
    <w:pPr/>
    <w:rPr/>
  </w:style>
  <w:style w:type="paragraph" w:styleId="BlockText">
    <w:name w:val="Block Text"/>
    <w:basedOn w:val="TextBody"/>
    <w:next w:val="TextBody"/>
    <w:uiPriority w:val="9"/>
    <w:unhideWhenUsed/>
    <w:qFormat/>
    <w:pPr>
      <w:spacing w:before="100" w:after="100"/>
      <w:ind w:left="480" w:right="480" w:hanging="0"/>
    </w:pPr>
    <w:rPr/>
  </w:style>
  <w:style w:type="paragraph" w:styleId="Footnote">
    <w:name w:val="Footnote Text"/>
    <w:basedOn w:val="Normal"/>
    <w:uiPriority w:val="9"/>
    <w:unhideWhenUsed/>
    <w:qFormat/>
    <w:pPr/>
    <w:rPr/>
  </w:style>
  <w:style w:type="paragraph" w:styleId="DefinitionTerm" w:customStyle="1">
    <w:name w:val="Definition Term"/>
    <w:basedOn w:val="Normal"/>
    <w:next w:val="Definition"/>
    <w:qFormat/>
    <w:pPr>
      <w:keepNext w:val="true"/>
      <w:keepLines/>
      <w:spacing w:before="0" w:after="0"/>
    </w:pPr>
    <w:rPr>
      <w:b/>
    </w:rPr>
  </w:style>
  <w:style w:type="paragraph" w:styleId="Definition" w:customStyle="1">
    <w:name w:val="Definition"/>
    <w:basedOn w:val="Normal"/>
    <w:qFormat/>
    <w:pPr/>
    <w:rPr/>
  </w:style>
  <w:style w:type="paragraph" w:styleId="TableCaption" w:customStyle="1">
    <w:name w:val="Table Caption"/>
    <w:basedOn w:val="Caption"/>
    <w:qFormat/>
    <w:pPr>
      <w:keepNext w:val="true"/>
    </w:pPr>
    <w:rPr/>
  </w:style>
  <w:style w:type="paragraph" w:styleId="ImageCaption" w:customStyle="1">
    <w:name w:val="Image Caption"/>
    <w:basedOn w:val="Caption"/>
    <w:qFormat/>
    <w:pPr/>
    <w:rPr/>
  </w:style>
  <w:style w:type="paragraph" w:styleId="Figure" w:customStyle="1">
    <w:name w:val="Figure"/>
    <w:basedOn w:val="Normal"/>
    <w:qFormat/>
    <w:pPr/>
    <w:rPr/>
  </w:style>
  <w:style w:type="paragraph" w:styleId="CaptionedFigure" w:customStyle="1">
    <w:name w:val="Captioned Figure"/>
    <w:basedOn w:val="Figure"/>
    <w:qFormat/>
    <w:pPr>
      <w:keepNext w:val="true"/>
    </w:pPr>
    <w:rPr/>
  </w:style>
  <w:style w:type="paragraph" w:styleId="TOCHeading">
    <w:name w:val="TOC Heading"/>
    <w:basedOn w:val="Heading1"/>
    <w:next w:val="TextBody"/>
    <w:uiPriority w:val="39"/>
    <w:unhideWhenUsed/>
    <w:qFormat/>
    <w:pPr>
      <w:spacing w:lineRule="auto" w:line="259" w:before="240" w:after="0"/>
      <w:outlineLvl w:val="9"/>
    </w:pPr>
    <w:rPr>
      <w:rFonts w:ascii="Calibri" w:hAnsi="Calibri" w:eastAsia="" w:cs="" w:asciiTheme="majorHAnsi" w:cstheme="majorBidi" w:eastAsiaTheme="majorEastAsia" w:hAnsiTheme="majorHAnsi"/>
      <w:b w:val="false"/>
      <w:bCs w:val="false"/>
      <w:color w:val="365F91" w:themeColor="accent1" w:themeShade="bf"/>
    </w:rPr>
  </w:style>
  <w:style w:type="paragraph" w:styleId="Sender">
    <w:name w:val="Envelope Return"/>
    <w:basedOn w:val="Normal"/>
    <w:pPr>
      <w:suppressLineNumbers/>
      <w:spacing w:before="0" w:after="60"/>
    </w:pPr>
    <w:rPr/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680" w:leader="none"/>
        <w:tab w:val="right" w:pos="9360" w:leader="none"/>
      </w:tabs>
    </w:pPr>
    <w:rPr/>
  </w:style>
  <w:style w:type="paragraph" w:styleId="Header">
    <w:name w:val="Header"/>
    <w:basedOn w:val="HeaderandFooter"/>
    <w:pPr>
      <w:suppressLineNumbers/>
    </w:pPr>
    <w:rPr/>
  </w:style>
  <w:style w:type="table" w:default="1" w:styleId="Table">
    <w:name w:val="Table"/>
    <w:basedOn w:val="TableNormal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footnotes.xml.rels><?xml version="1.0" encoding="UTF-8"?>
<Relationships xmlns="http://schemas.openxmlformats.org/package/2006/relationships" /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Application>LibreOffice/7.2.2.2$Linux_X86_64 LibreOffice_project/20$Build-2</Application>
  <AppVersion>15.0000</AppVersion>
  <Pages>2</Pages>
  <Words>53</Words>
  <Characters>281</Characters>
  <CharactersWithSpaces>374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2022-05-06T15:22:55Z</dcterms:created>
  <dcterms:modified xsi:type="dcterms:W3CDTF">2022-05-06T15:22:55Z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