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nicolas.olivier@mayenne.gouv.fr</w:t>
      </w:r>
    </w:p>
    <w:p>
      <w:pPr>
        <w:pStyle w:val="TextBody"/>
      </w:pPr>
      <w:r>
        <w:t xml:space="preserve">Date de signature du CRTE : 05 juillet 2021</w:t>
      </w:r>
    </w:p>
    <w:p>
      <w:pPr>
        <w:pStyle w:val="TextBody"/>
      </w:pPr>
      <w:r>
        <w:t xml:space="preserve">Nature juridique de la structure porteuse : Communauté de communes</w:t>
      </w:r>
    </w:p>
    <w:p>
      <w:pPr>
        <w:pStyle w:val="TextBody"/>
      </w:pPr>
      <w:r>
        <w:t xml:space="preserve">Nom de la structure porteuse : communauté de communes de l’Ernée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Nom: CC de l’Ernée, nature: CC, SIREN: 245300355</w:t>
      </w:r>
    </w:p>
    <w:p>
      <w:pPr>
        <w:numPr>
          <w:ilvl w:val="0"/>
          <w:numId w:val="1001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1"/>
        </w:numPr>
        <w:pStyle w:val="Compact"/>
      </w:pPr>
      <w:r>
        <w:t xml:space="preserve">Nom: Mayenne, nature: departement, SIREN: 53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SAGE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mobilité simplifié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eau et climat</w:t>
      </w:r>
    </w:p>
    <w:p>
      <w:pPr>
        <w:numPr>
          <w:ilvl w:val="0"/>
          <w:numId w:val="1003"/>
        </w:numPr>
        <w:pStyle w:val="Compact"/>
      </w:pPr>
      <w:r>
        <w:t xml:space="preserve">Contrat territorial d’éducation artistique et culturelle (CTEAC)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France Très-Haut débit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numPr>
          <w:ilvl w:val="0"/>
          <w:numId w:val="1004"/>
        </w:numPr>
        <w:pStyle w:val="Compact"/>
      </w:pPr>
      <w:r>
        <w:t xml:space="preserve">Fabrique des territoires</w:t>
      </w:r>
    </w:p>
    <w:p>
      <w:pPr>
        <w:numPr>
          <w:ilvl w:val="0"/>
          <w:numId w:val="1004"/>
        </w:numPr>
        <w:pStyle w:val="Compact"/>
      </w:pPr>
      <w:r>
        <w:t xml:space="preserve">France Mobile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ORIENTATION 1 – GARANTIR LE DÉVELOPPEMENT ÉCONOMIQUE DU TERRITOIRE ET OFFRIR AUX ENTREPRISES DE L’ERNÉE UNE CAPACITÉ À RESTER COMPÉTITIVES</w:t>
      </w:r>
    </w:p>
    <w:p>
      <w:pPr>
        <w:numPr>
          <w:ilvl w:val="0"/>
          <w:numId w:val="1005"/>
        </w:numPr>
        <w:pStyle w:val="Compact"/>
      </w:pPr>
      <w:r>
        <w:t xml:space="preserve">ORIENTATION 2 – ACCOMPAGNER LES RECONQUÊTE DES CENTRES-BOURGS AUTOUR DU TRIPTYQUE : HABITAT, ACTIVITÉS, ESPACES PUBLICS</w:t>
      </w:r>
    </w:p>
    <w:p>
      <w:pPr>
        <w:numPr>
          <w:ilvl w:val="0"/>
          <w:numId w:val="1005"/>
        </w:numPr>
        <w:pStyle w:val="Compact"/>
      </w:pPr>
      <w:r>
        <w:t xml:space="preserve">ORIENTATION 3 – PRÉSERVER LA QUALITÉ DU PATRIMOINE NATUREL EN AGISSANT EN FAVEUR DE LA TRANSITION ÉNERGÉTIQUE</w:t>
      </w:r>
    </w:p>
    <w:p>
      <w:pPr>
        <w:numPr>
          <w:ilvl w:val="0"/>
          <w:numId w:val="1005"/>
        </w:numPr>
        <w:pStyle w:val="Compact"/>
      </w:pPr>
      <w:r>
        <w:t xml:space="preserve">ORIENTATION 4 – PROMOUVOIR UN TERRITOIRE DE SOLIDARITÉS ENTRE LES GÉNÉRATIONS</w:t>
      </w:r>
    </w:p>
    <w:p>
      <w:pPr>
        <w:numPr>
          <w:ilvl w:val="0"/>
          <w:numId w:val="1005"/>
        </w:numPr>
        <w:pStyle w:val="Compact"/>
      </w:pPr>
      <w:r>
        <w:t xml:space="preserve">ORIENTATION 5 – FAIRE DE L’ERNÉE UN TERRITOIRE DU VIVRE-ENSEMBLE EN ACCOMPAGNANT LA DYNAMIQUE ASSOCIATIVE, SPORTIVE ET CULTURELLE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Non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Vivre ensemble, interdépendance et solidarité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pStyle w:val="FirstParagraph"/>
      </w:pPr>
      <w:r>
        <w:t xml:space="preserve">Nombre de fiches action (opération prête à démarrer) : 59</w:t>
      </w:r>
    </w:p>
    <w:p>
      <w:pPr>
        <w:pStyle w:val="TextBody"/>
      </w:pPr>
      <w:r>
        <w:t xml:space="preserve">Nombre de fiches projet (opération à travailler) : 33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préfecture</w:t>
      </w:r>
    </w:p>
    <w:p>
      <w:pPr>
        <w:numPr>
          <w:ilvl w:val="0"/>
          <w:numId w:val="1007"/>
        </w:numPr>
        <w:pStyle w:val="Compact"/>
      </w:pPr>
      <w:r>
        <w:t xml:space="preserve">Nom: CC de l’Ernée, nature: CC, SIREN: 245300355</w:t>
      </w:r>
    </w:p>
    <w:p>
      <w:pPr>
        <w:numPr>
          <w:ilvl w:val="0"/>
          <w:numId w:val="1007"/>
        </w:numPr>
        <w:pStyle w:val="Compact"/>
      </w:pPr>
      <w:r>
        <w:t xml:space="preserve">Nom: Pays de la Loire, nature: region, SIREN: 52</w:t>
      </w:r>
    </w:p>
    <w:p>
      <w:pPr>
        <w:numPr>
          <w:ilvl w:val="0"/>
          <w:numId w:val="1007"/>
        </w:numPr>
        <w:pStyle w:val="Compact"/>
      </w:pPr>
      <w:r>
        <w:t xml:space="preserve">Nom: Mayenne, nature: departement, SIREN: 53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Agence de l’eau</w:t>
      </w:r>
    </w:p>
    <w:p>
      <w:pPr>
        <w:pStyle w:val="FirstParagraph"/>
      </w:pPr>
      <w:r>
        <w:t xml:space="preserve">Liste des instances de partenariat mobilisées ou créées : comité technique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</w:t>
      </w:r>
    </w:p>
    <w:p>
      <w:pPr>
        <w:pStyle w:val="TextBody"/>
      </w:pPr>
      <w:r>
        <w:t xml:space="preserve">Démarches de co-construction du CRTE : Concertation élus/techniciens</w:t>
      </w:r>
    </w:p>
    <w:p>
      <w:pPr>
        <w:pStyle w:val="TextBody"/>
      </w:pPr>
      <w:r>
        <w:t xml:space="preserve">Existence d’un volet de coopération interterritoriale (dont volet transfrontalier) : Oui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numPr>
          <w:ilvl w:val="0"/>
          <w:numId w:val="1008"/>
        </w:numPr>
        <w:pStyle w:val="Compact"/>
      </w:pPr>
      <w:r>
        <w:t xml:space="preserve">Circuits courts agricoles</w:t>
      </w:r>
    </w:p>
    <w:p>
      <w:pPr>
        <w:numPr>
          <w:ilvl w:val="0"/>
          <w:numId w:val="1008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8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8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8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8"/>
        </w:numPr>
        <w:pStyle w:val="Compact"/>
      </w:pPr>
      <w:r>
        <w:t xml:space="preserve">Sensibilisation et animation de la transition</w:t>
      </w:r>
    </w:p>
    <w:p>
      <w:pPr>
        <w:numPr>
          <w:ilvl w:val="0"/>
          <w:numId w:val="1008"/>
        </w:numPr>
        <w:pStyle w:val="Compact"/>
      </w:pPr>
      <w:r>
        <w:t xml:space="preserve">Efficacité énergétique</w:t>
      </w:r>
    </w:p>
    <w:p>
      <w:pPr>
        <w:numPr>
          <w:ilvl w:val="0"/>
          <w:numId w:val="1008"/>
        </w:numPr>
        <w:pStyle w:val="Compact"/>
      </w:pPr>
      <w:r>
        <w:t xml:space="preserve">Mobilités douces</w:t>
      </w:r>
    </w:p>
    <w:p>
      <w:pPr>
        <w:numPr>
          <w:ilvl w:val="0"/>
          <w:numId w:val="1008"/>
        </w:numPr>
        <w:pStyle w:val="Compact"/>
      </w:pPr>
      <w:r>
        <w:t xml:space="preserve">Santé et soins</w:t>
      </w:r>
    </w:p>
    <w:p>
      <w:pPr>
        <w:pStyle w:val="FirstParagraph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Oui</w:t>
      </w:r>
    </w:p>
    <w:p>
      <w:pPr>
        <w:pStyle w:val="TextBody"/>
      </w:pPr>
      <w:r>
        <w:t xml:space="preserve">Recours à la grille d’analyse ex-ante des actions : Non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 NON</w:t>
      </w:r>
    </w:p>
    <w:p>
      <w:pPr>
        <w:pStyle w:val="TextBody"/>
      </w:pPr>
      <w:r>
        <w:t xml:space="preserve">Mobilisation d’une ingénierie externe : Bureau d’étude marché ANCT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891 074€</w:t>
      </w:r>
    </w:p>
    <w:p>
      <w:pPr>
        <w:pStyle w:val="TextBody"/>
      </w:pPr>
      <w:r>
        <w:t xml:space="preserve">Montant total prévisionnel en euros des actions en dépenses d’investissement : 41.31M€</w:t>
      </w:r>
    </w:p>
    <w:p>
      <w:pPr>
        <w:pStyle w:val="TextBody"/>
      </w:pPr>
      <w:r>
        <w:t xml:space="preserve">Montant total en euros des engagements financiers des collectivités locales et leurs établissements publics : 691 302€</w:t>
      </w:r>
    </w:p>
    <w:p>
      <w:pPr>
        <w:pStyle w:val="TextBody"/>
      </w:pPr>
      <w:r>
        <w:t xml:space="preserve">Montant total en euros des engagements financiers de l’Etat et de ses opérateurs Plan de relance : 604 362€</w:t>
      </w:r>
    </w:p>
    <w:p>
      <w:pPr>
        <w:pStyle w:val="TextBody"/>
      </w:pPr>
      <w:r>
        <w:t xml:space="preserve">Montant total en euros des engagements financiers de l’Etat et de ses opérateurs hors plan de relance : 1.08M€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54 594€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2022-05-06T15:22:49Z</dcterms:created>
  <dcterms:modified xsi:type="dcterms:W3CDTF">2022-05-06T15:22:49Z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