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nicolas.hallier@haut-marne.gouv.fr</w:t>
      </w:r>
    </w:p>
    <w:p>
      <w:pPr>
        <w:pStyle w:val="TextBody"/>
      </w:pPr>
      <w:r>
        <w:t xml:space="preserve">Date de signature du CRTE : 14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Trois Forêts</w:t>
      </w:r>
    </w:p>
    <w:p>
      <w:pPr>
        <w:pStyle w:val="TextBody"/>
      </w:pPr>
      <w:r>
        <w:t xml:space="preserve">Si protocole de préfiguration : date de signature : 23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Trois Forêts, nature: CC, SIREN: 245200597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Haute-Marne, nature: departement,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durablement les activités économiques du territoire en s’appuyant sur ses ressources naturelles et agricoles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de la CC3F pour ses habitants actuels et futurs</w:t>
      </w:r>
    </w:p>
    <w:p>
      <w:pPr>
        <w:numPr>
          <w:ilvl w:val="0"/>
          <w:numId w:val="1004"/>
        </w:numPr>
        <w:pStyle w:val="Compact"/>
      </w:pPr>
      <w:r>
        <w:t xml:space="preserve">Répondre aux enjeux écologiques pour préserver la haute qualité environnementale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Nom: CC des Trois Forêts, nature: CC, SIREN: 245200597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