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Bassin de Joinville en Champagne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Bassin de Joinville en Champagne, nature: CC, SIREN: 200044253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(POCE)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Engager le territoire dans une démarche de transition écologique et énergétique</w:t>
      </w:r>
    </w:p>
    <w:p>
      <w:pPr>
        <w:numPr>
          <w:ilvl w:val="1"/>
          <w:numId w:val="1007"/>
        </w:numPr>
        <w:pStyle w:val="Compact"/>
      </w:pPr>
      <w:r>
        <w:t xml:space="preserve">Conforter l’attractivité agricole et favoriser la diversification vers des pratiques plus durables</w:t>
      </w:r>
    </w:p>
    <w:p>
      <w:pPr>
        <w:numPr>
          <w:ilvl w:val="1"/>
          <w:numId w:val="1008"/>
        </w:numPr>
        <w:pStyle w:val="Compact"/>
      </w:pPr>
      <w:r>
        <w:t xml:space="preserve">Impulser et soutenir la diversification économique du territoire</w:t>
      </w:r>
    </w:p>
    <w:p>
      <w:pPr>
        <w:numPr>
          <w:ilvl w:val="1"/>
          <w:numId w:val="1009"/>
        </w:numPr>
        <w:pStyle w:val="Compact"/>
      </w:pPr>
      <w:r>
        <w:t xml:space="preserve">Renforcer l’attractivité du territoire en agissant sur le bâti et l’offre de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49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11"/>
        </w:numPr>
        <w:pStyle w:val="Compact"/>
      </w:pPr>
      <w:r>
        <w:t xml:space="preserve">Nom: CC du Bassin de Joinville en Champagne, nature: CC, SIREN: 200044253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2022-05-06T15:22:49Z</dcterms:created>
  <dcterms:modified xsi:type="dcterms:W3CDTF">2022-05-06T15:22:49Z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