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Vitry, Champagne et Der</w:t>
      </w:r>
    </w:p>
    <w:p>
      <w:pPr>
        <w:pStyle w:val="TextBody"/>
      </w:pPr>
      <w:r>
        <w:t xml:space="preserve">Si protocole de préfiguration : date de signature : 07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Vitry, Champagne et Der, nature: CC, SIREN: 200034718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Marne, nature: departement, SIREN: 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Campus connecté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d’accompagnement à la scolarité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développement vertueux, par l’inscription de l’activité économique locale dans une dynamique pérenne</w:t>
      </w:r>
    </w:p>
    <w:p>
      <w:pPr>
        <w:numPr>
          <w:ilvl w:val="0"/>
          <w:numId w:val="1005"/>
        </w:numPr>
        <w:pStyle w:val="Compact"/>
      </w:pPr>
      <w:r>
        <w:t xml:space="preserve">Axe 2 : un développement harmonieux par l’aménagement équilibré du cadre de vie</w:t>
      </w:r>
    </w:p>
    <w:p>
      <w:pPr>
        <w:numPr>
          <w:ilvl w:val="0"/>
          <w:numId w:val="1005"/>
        </w:numPr>
        <w:pStyle w:val="Compact"/>
      </w:pPr>
      <w:r>
        <w:t xml:space="preserve">Axe 3 : un développement fédérateur, par le renforcement d’un territoire d’accueil, accessible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Syndicat mixte ADEVA Pays vitryat, SEM Vitry Energies, Chambre des métiers et de l’artisanat de la Marne, Foyer rémois, Commune de Sompuis, SNCF, VSB Energie, C4B Finances, Commune de Loisy-sur-Marne, Commune de Chapelaine, Etablissement public foncier du Grand Est, DT ARS, Université Reims Champagne-Ardenne, Caisse des Dépôts et Consignations, Rectorat de Reims, Commune de Courdemanges, Bpifrance, Chambre de commerce et d’industrie de Marne en Champagne, ADEME, et Chambre d’agriculture de la Marne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3.02M€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