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l’Argonne Champenoise</w:t>
      </w:r>
    </w:p>
    <w:p>
      <w:pPr>
        <w:pStyle w:val="TextBody"/>
      </w:pPr>
      <w:r>
        <w:t xml:space="preserve">Si protocole de préfiguration : date de signature : 16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l’Argonne Champenoise, nature: CC, SIREN: 200042703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Marne, nature: departement, SIREN: 51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Espace de vie sociale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rendre le territoire attrayant par le bien-vivre</w:t>
      </w:r>
    </w:p>
    <w:p>
      <w:pPr>
        <w:numPr>
          <w:ilvl w:val="0"/>
          <w:numId w:val="1005"/>
        </w:numPr>
        <w:pStyle w:val="Compact"/>
      </w:pPr>
      <w:r>
        <w:t xml:space="preserve">Ambition 2 : dynamiser le territoire par l’économie et la transition</w:t>
      </w:r>
    </w:p>
    <w:p>
      <w:pPr>
        <w:numPr>
          <w:ilvl w:val="0"/>
          <w:numId w:val="1005"/>
        </w:numPr>
        <w:pStyle w:val="Compact"/>
      </w:pPr>
      <w:r>
        <w:t xml:space="preserve">Ambition 3 : faire rayonner le territoire par le lien, l’animation, la promotion et la communication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TextBody"/>
      </w:pPr>
      <w:r>
        <w:t xml:space="preserve">Nombre de fiches projet (opération à travailler) : 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Délégation territoriale de l’Agence régionale de santé, Association des petites cités de caractère, Banque des Territoires, Agence de l’eau Seine-Normandie, Mission locale de Châlons-en-Champagne, CLIC, MECS La Pépinière, ESAT Elan Argonnais, Société publique des Couleurs, Office de tourisme de l’Argonne Champenoise, CAF de la Marne, Syndicat mixte du sud-est de la Marne, et Syndicat Mixte d’Aménagement de la Vallée de l’Aisne Supérieure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Architectes-conseil de la DDT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100 000€</w:t>
      </w:r>
    </w:p>
    <w:p>
      <w:pPr>
        <w:pStyle w:val="TextBody"/>
      </w:pPr>
      <w:r>
        <w:t xml:space="preserve">Montant total prévisionnel en euros des actions en dépenses d’investissement : 16.67M€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3.85M€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2022-05-06T15:22:48Z</dcterms:created>
  <dcterms:modified xsi:type="dcterms:W3CDTF">2022-05-06T15:22:48Z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