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nicolas.kieffer@marne.gouv.fr</w:t>
      </w:r>
    </w:p>
    <w:p>
      <w:pPr>
        <w:pStyle w:val="TextBody"/>
      </w:pPr>
      <w:r>
        <w:t xml:space="preserve">Date de signature du CRTE : 07 janvier 2022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Pays de Brie et Champagne</w:t>
      </w:r>
    </w:p>
    <w:p>
      <w:pPr>
        <w:pStyle w:val="TextBody"/>
      </w:pPr>
      <w:r>
        <w:t xml:space="preserve">Si protocole de préfiguration : date de signature : 08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Pays de Brie et Champagne, nature: PETR, SIREN: 200061406</w:t>
      </w:r>
    </w:p>
    <w:p>
      <w:pPr>
        <w:numPr>
          <w:ilvl w:val="0"/>
          <w:numId w:val="1001"/>
        </w:numPr>
        <w:pStyle w:val="Compact"/>
      </w:pPr>
      <w:r>
        <w:t xml:space="preserve">Nom: CC de Sézanne-Sud Ouest Marnais, nature: CC, SIREN: 200066835</w:t>
      </w:r>
    </w:p>
    <w:p>
      <w:pPr>
        <w:numPr>
          <w:ilvl w:val="0"/>
          <w:numId w:val="1001"/>
        </w:numPr>
        <w:pStyle w:val="Compact"/>
      </w:pPr>
      <w:r>
        <w:t xml:space="preserve">Nom: CC de la Brie Champenoise, nature: CC, SIREN: 245100888</w:t>
      </w:r>
    </w:p>
    <w:p>
      <w:pPr>
        <w:numPr>
          <w:ilvl w:val="0"/>
          <w:numId w:val="1001"/>
        </w:numPr>
        <w:pStyle w:val="Compact"/>
      </w:pPr>
      <w:r>
        <w:t xml:space="preserve">Nom: CC du Sud Marnais, nature: CC, SIREN: 245100979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Marne, nature: departement, SIREN: 51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 et des loisirs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France rénov’ (SARE)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A : garantir un maillage de services en s’appuyant sur un réseau de centralités</w:t>
      </w:r>
    </w:p>
    <w:p>
      <w:pPr>
        <w:numPr>
          <w:ilvl w:val="0"/>
          <w:numId w:val="1005"/>
        </w:numPr>
        <w:pStyle w:val="Compact"/>
      </w:pPr>
      <w:r>
        <w:t xml:space="preserve">Axe B : renforcer l’économie locale</w:t>
      </w:r>
    </w:p>
    <w:p>
      <w:pPr>
        <w:numPr>
          <w:ilvl w:val="0"/>
          <w:numId w:val="1005"/>
        </w:numPr>
        <w:pStyle w:val="Compact"/>
      </w:pPr>
      <w:r>
        <w:t xml:space="preserve">Axe C : valoriser les atouts locaux dans une démarche d’attractivité territoriale</w:t>
      </w:r>
    </w:p>
    <w:p>
      <w:pPr>
        <w:numPr>
          <w:ilvl w:val="0"/>
          <w:numId w:val="1005"/>
        </w:numPr>
        <w:pStyle w:val="Compact"/>
      </w:pPr>
      <w:r>
        <w:t xml:space="preserve">Axe D : consolider l’ingénierie au service du développement local</w:t>
      </w:r>
    </w:p>
    <w:p>
      <w:pPr>
        <w:numPr>
          <w:ilvl w:val="0"/>
          <w:numId w:val="1005"/>
        </w:numPr>
        <w:pStyle w:val="Compact"/>
      </w:pPr>
      <w:r>
        <w:t xml:space="preserve">Axe E : un travail d’inter-territorialité à approfondir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TextBody"/>
      </w:pPr>
      <w:r>
        <w:t xml:space="preserve">Nombre de fiches projet (opération à travailler) : 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 Commune d’Esternay, Commune de Montmirail, Commune de Fère-Champenoise, Commune de Sézanne, Commune de Broissy-le-Grand, ADEME, Banque des Territoires, Association Familles rurales, Association Foyer rural d’éducation populaire d’Esternay, Plurial Novilia, Club de prévention d’Epernay, CAF de la Marne, MSA de la Marne, EARL J-L Mathieu, Association Espace loisir culture de Montmirail, Association Piste de Sézanne, Carrefour Contact de Fère-Champenoise, Intermarché de Fère-Champenoise, Carrefour Market de Blancs-Coteaux, Entreprise Parmentine de Fère-Champenoise, Tereos Connantre, et Office de tourisme de Montmirail et sa région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Bureau étude sans aide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620 736€</w:t>
      </w:r>
    </w:p>
    <w:p>
      <w:pPr>
        <w:pStyle w:val="TextBody"/>
      </w:pPr>
      <w:r>
        <w:t xml:space="preserve">Montant total prévisionnel en euros des actions en dépenses d’investissement : 3.82M€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10.85M€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2022-05-06T15:22:48Z</dcterms:created>
  <dcterms:modified xsi:type="dcterms:W3CDTF">2022-05-06T15:22:48Z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