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nicolas.kieffer@marne.gouv.fr</w:t>
      </w:r>
    </w:p>
    <w:p>
      <w:pPr>
        <w:pStyle w:val="TextBody"/>
      </w:pPr>
      <w:r>
        <w:t xml:space="preserve">Date de signature du CRTE : 20 décembre 2021</w:t>
      </w:r>
    </w:p>
    <w:p>
      <w:pPr>
        <w:pStyle w:val="TextBody"/>
      </w:pPr>
      <w:r>
        <w:t xml:space="preserve">Nature juridique de la structure porteuse : Communauté d’Agglomération</w:t>
      </w:r>
    </w:p>
    <w:p>
      <w:pPr>
        <w:pStyle w:val="TextBody"/>
      </w:pPr>
      <w:r>
        <w:t xml:space="preserve">Nom de la structure porteuse : Communauté urbaine du Grand Reims</w:t>
      </w:r>
    </w:p>
    <w:p>
      <w:pPr>
        <w:pStyle w:val="TextBody"/>
      </w:pPr>
      <w:r>
        <w:t xml:space="preserve">Si protocole de préfiguration : date de signature : 02 juillet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Reims, nature: commune, SIREN: 51454</w:t>
      </w:r>
    </w:p>
    <w:p>
      <w:pPr>
        <w:numPr>
          <w:ilvl w:val="0"/>
          <w:numId w:val="1001"/>
        </w:numPr>
        <w:pStyle w:val="Compact"/>
      </w:pPr>
      <w:r>
        <w:t xml:space="preserve">Nom: Marne, nature: departement, SIREN: 51</w:t>
      </w:r>
    </w:p>
    <w:p>
      <w:pPr>
        <w:numPr>
          <w:ilvl w:val="0"/>
          <w:numId w:val="1001"/>
        </w:numPr>
        <w:pStyle w:val="Compact"/>
      </w:pPr>
      <w:r>
        <w:t xml:space="preserve">Nom: Grand Est, nature: region, SIREN: 44</w:t>
      </w:r>
    </w:p>
    <w:p>
      <w:pPr>
        <w:numPr>
          <w:ilvl w:val="0"/>
          <w:numId w:val="1001"/>
        </w:numPr>
        <w:pStyle w:val="Compact"/>
      </w:pPr>
      <w:r>
        <w:t xml:space="preserve">Nom: CU du Grand Reims, nature: CU, SIREN: 200067213</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Projet de territoire du Grand Reims</w:t>
      </w:r>
    </w:p>
    <w:p>
      <w:pPr>
        <w:numPr>
          <w:ilvl w:val="0"/>
          <w:numId w:val="1002"/>
        </w:numPr>
        <w:pStyle w:val="Compact"/>
      </w:pPr>
      <w:r>
        <w:t xml:space="preserve">SCOT</w:t>
      </w:r>
    </w:p>
    <w:p>
      <w:pPr>
        <w:numPr>
          <w:ilvl w:val="0"/>
          <w:numId w:val="1002"/>
        </w:numPr>
        <w:pStyle w:val="Compact"/>
      </w:pPr>
      <w:r>
        <w:t xml:space="preserve">Plan de mobilité</w:t>
      </w:r>
    </w:p>
    <w:p>
      <w:pPr>
        <w:numPr>
          <w:ilvl w:val="0"/>
          <w:numId w:val="1002"/>
        </w:numPr>
        <w:pStyle w:val="Compact"/>
      </w:pPr>
      <w:r>
        <w:t xml:space="preserve">PLH</w:t>
      </w:r>
    </w:p>
    <w:p>
      <w:pPr>
        <w:numPr>
          <w:ilvl w:val="0"/>
          <w:numId w:val="1002"/>
        </w:numPr>
        <w:pStyle w:val="Compact"/>
      </w:pPr>
      <w:r>
        <w:t xml:space="preserve">CPER</w:t>
      </w:r>
    </w:p>
    <w:p>
      <w:pPr>
        <w:numPr>
          <w:ilvl w:val="0"/>
          <w:numId w:val="1002"/>
        </w:numPr>
        <w:pStyle w:val="Compact"/>
      </w:pPr>
      <w:r>
        <w:t xml:space="preserve">Schéma Régional de Développement du tourisme et des loisirs</w:t>
      </w:r>
    </w:p>
    <w:p>
      <w:pPr>
        <w:numPr>
          <w:ilvl w:val="0"/>
          <w:numId w:val="1002"/>
        </w:numPr>
        <w:pStyle w:val="Compact"/>
      </w:pPr>
      <w:r>
        <w:t xml:space="preserve">PRPGD</w:t>
      </w:r>
    </w:p>
    <w:p>
      <w:pPr>
        <w:numPr>
          <w:ilvl w:val="0"/>
          <w:numId w:val="1002"/>
        </w:numPr>
        <w:pStyle w:val="Compact"/>
      </w:pPr>
      <w:r>
        <w:t xml:space="preserve">Schéma Régional de Développement du sport</w:t>
      </w:r>
    </w:p>
    <w:p>
      <w:pPr>
        <w:numPr>
          <w:ilvl w:val="0"/>
          <w:numId w:val="1002"/>
        </w:numPr>
        <w:pStyle w:val="Compact"/>
      </w:pPr>
      <w:r>
        <w:t xml:space="preserve">Feuille de route santé</w:t>
      </w:r>
    </w:p>
    <w:p>
      <w:pPr>
        <w:numPr>
          <w:ilvl w:val="0"/>
          <w:numId w:val="1002"/>
        </w:numPr>
        <w:pStyle w:val="Compact"/>
      </w:pPr>
      <w:r>
        <w:t xml:space="preserve">Stratégie régionale biodiversité</w:t>
      </w:r>
    </w:p>
    <w:p>
      <w:pPr>
        <w:numPr>
          <w:ilvl w:val="0"/>
          <w:numId w:val="1002"/>
        </w:numPr>
        <w:pStyle w:val="Compact"/>
      </w:pPr>
      <w:r>
        <w:t xml:space="preserve">SRADDET</w:t>
      </w:r>
    </w:p>
    <w:p>
      <w:pPr>
        <w:numPr>
          <w:ilvl w:val="0"/>
          <w:numId w:val="1002"/>
        </w:numPr>
        <w:pStyle w:val="Compact"/>
      </w:pPr>
      <w:r>
        <w:t xml:space="preserve">SRDEII</w:t>
      </w:r>
    </w:p>
    <w:p>
      <w:pPr>
        <w:numPr>
          <w:ilvl w:val="0"/>
          <w:numId w:val="1002"/>
        </w:numPr>
        <w:pStyle w:val="Compact"/>
      </w:pPr>
      <w:r>
        <w:t xml:space="preserve">Business Act</w:t>
      </w:r>
    </w:p>
    <w:p>
      <w:pPr>
        <w:numPr>
          <w:ilvl w:val="0"/>
          <w:numId w:val="1002"/>
        </w:numPr>
        <w:pStyle w:val="Compact"/>
      </w:pPr>
      <w:r>
        <w:t xml:space="preserve">CPRDFOP</w:t>
      </w:r>
    </w:p>
    <w:p>
      <w:pPr>
        <w:pStyle w:val="FirstParagraph"/>
      </w:pPr>
      <w:r>
        <w:t xml:space="preserve">Liste des contrats figurant dans le CRTE :</w:t>
      </w:r>
    </w:p>
    <w:p>
      <w:pPr>
        <w:numPr>
          <w:ilvl w:val="0"/>
          <w:numId w:val="1003"/>
        </w:numPr>
        <w:pStyle w:val="Compact"/>
      </w:pPr>
      <w:r>
        <w:t xml:space="preserve">Contrat local de Santé</w:t>
      </w:r>
    </w:p>
    <w:p>
      <w:pPr>
        <w:numPr>
          <w:ilvl w:val="0"/>
          <w:numId w:val="1003"/>
        </w:numPr>
        <w:pStyle w:val="Compact"/>
      </w:pPr>
      <w:r>
        <w:t xml:space="preserve">Contrat de ville</w:t>
      </w:r>
    </w:p>
    <w:p>
      <w:pPr>
        <w:numPr>
          <w:ilvl w:val="0"/>
          <w:numId w:val="1003"/>
        </w:numPr>
        <w:pStyle w:val="Compact"/>
      </w:pPr>
      <w:r>
        <w:t xml:space="preserve">Convention ANRU</w:t>
      </w:r>
    </w:p>
    <w:p>
      <w:pPr>
        <w:pStyle w:val="FirstParagraph"/>
      </w:pPr>
      <w:r>
        <w:t xml:space="preserve">Liste des programmes de l’ANCT intégrés :</w:t>
      </w:r>
    </w:p>
    <w:p>
      <w:pPr>
        <w:numPr>
          <w:ilvl w:val="0"/>
          <w:numId w:val="1004"/>
        </w:numPr>
        <w:pStyle w:val="Compact"/>
      </w:pPr>
      <w:r>
        <w:t xml:space="preserve">Cités éducatives</w:t>
      </w:r>
    </w:p>
    <w:p>
      <w:pPr>
        <w:numPr>
          <w:ilvl w:val="0"/>
          <w:numId w:val="1004"/>
        </w:numPr>
        <w:pStyle w:val="Compact"/>
      </w:pPr>
      <w:r>
        <w:t xml:space="preserve">Cités de l’emploi</w:t>
      </w:r>
    </w:p>
    <w:p>
      <w:pPr>
        <w:numPr>
          <w:ilvl w:val="0"/>
          <w:numId w:val="1004"/>
        </w:numPr>
        <w:pStyle w:val="Compact"/>
      </w:pPr>
      <w:r>
        <w:t xml:space="preserve">Conseillers numériques France services</w:t>
      </w:r>
    </w:p>
    <w:p>
      <w:pPr>
        <w:numPr>
          <w:ilvl w:val="0"/>
          <w:numId w:val="1004"/>
        </w:numPr>
        <w:pStyle w:val="Compact"/>
      </w:pPr>
      <w:r>
        <w:t xml:space="preserve">France services</w:t>
      </w:r>
    </w:p>
    <w:p>
      <w:pPr>
        <w:numPr>
          <w:ilvl w:val="0"/>
          <w:numId w:val="1004"/>
        </w:numPr>
        <w:pStyle w:val="Compact"/>
      </w:pPr>
      <w:r>
        <w:t xml:space="preserve">Petits villes de demain</w:t>
      </w:r>
    </w:p>
    <w:p>
      <w:pPr>
        <w:numPr>
          <w:ilvl w:val="0"/>
          <w:numId w:val="1004"/>
        </w:numPr>
        <w:pStyle w:val="Compact"/>
      </w:pPr>
      <w:r>
        <w:t xml:space="preserve">Programme réussite éducative</w:t>
      </w:r>
    </w:p>
    <w:p>
      <w:pPr>
        <w:numPr>
          <w:ilvl w:val="0"/>
          <w:numId w:val="1004"/>
        </w:numPr>
        <w:pStyle w:val="Compact"/>
      </w:pPr>
      <w:r>
        <w:t xml:space="preserve">Territoires d’industrie</w:t>
      </w:r>
    </w:p>
    <w:p>
      <w:pPr>
        <w:numPr>
          <w:ilvl w:val="0"/>
          <w:numId w:val="1004"/>
        </w:numPr>
        <w:pStyle w:val="Compact"/>
      </w:pPr>
      <w:r>
        <w:t xml:space="preserve">Fabrique des territoires</w:t>
      </w:r>
    </w:p>
    <w:p>
      <w:pPr>
        <w:pStyle w:val="FirstParagraph"/>
      </w:pPr>
      <w:r>
        <w:t xml:space="preserve">Liste des orientations stratégiques, axes, ambitions, volets, objectifs… :</w:t>
      </w:r>
    </w:p>
    <w:p>
      <w:pPr>
        <w:numPr>
          <w:ilvl w:val="0"/>
          <w:numId w:val="1005"/>
        </w:numPr>
        <w:pStyle w:val="Compact"/>
      </w:pPr>
      <w:r>
        <w:t xml:space="preserve">Ambition 1 : Une nouvelle ambition économique : se réinventer pour devenir un grand territoire de référence, avec pour fer de lance la bioéconomie</w:t>
      </w:r>
    </w:p>
    <w:p>
      <w:pPr>
        <w:numPr>
          <w:ilvl w:val="0"/>
          <w:numId w:val="1005"/>
        </w:numPr>
        <w:pStyle w:val="Compact"/>
      </w:pPr>
      <w:r>
        <w:t xml:space="preserve">Ambition 2 : une nouvelle stratégie d’attractivité : se resituer pour redevenir un territoire de choix</w:t>
      </w:r>
    </w:p>
    <w:p>
      <w:pPr>
        <w:numPr>
          <w:ilvl w:val="0"/>
          <w:numId w:val="1005"/>
        </w:numPr>
        <w:pStyle w:val="Compact"/>
      </w:pPr>
      <w:r>
        <w:t xml:space="preserve">Ambition 3 : une mobilisation territoriale : se rassembler pour affirmer et faire grandir ce qui nous lie</w:t>
      </w:r>
    </w:p>
    <w:p>
      <w:pPr>
        <w:pStyle w:val="FirstParagraph"/>
      </w:pPr>
      <w:r>
        <w:t xml:space="preserve">Réalisation d’un diagnostic initial du territoire : Oui</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Restauration et alimentation durable</w:t>
      </w:r>
    </w:p>
    <w:p>
      <w:pPr>
        <w:numPr>
          <w:ilvl w:val="0"/>
          <w:numId w:val="1006"/>
        </w:numPr>
        <w:pStyle w:val="Compact"/>
      </w:pPr>
      <w:r>
        <w:t xml:space="preserve">Pratique agricole durable, agro-écologie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quantitative et qualitative de l’eau</w:t>
      </w:r>
    </w:p>
    <w:p>
      <w:pPr>
        <w:numPr>
          <w:ilvl w:val="0"/>
          <w:numId w:val="1006"/>
        </w:numPr>
        <w:pStyle w:val="Compact"/>
      </w:pPr>
      <w:r>
        <w:t xml:space="preserve">Gestion des risques (inondations…)</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Emploi et Insertion</w:t>
      </w:r>
    </w:p>
    <w:p>
      <w:pPr>
        <w:numPr>
          <w:ilvl w:val="0"/>
          <w:numId w:val="1006"/>
        </w:numPr>
        <w:pStyle w:val="Compact"/>
      </w:pPr>
      <w:r>
        <w:t xml:space="preserve">Soutien aux filières innovantes et de R&amp;D</w:t>
      </w:r>
    </w:p>
    <w:p>
      <w:pPr>
        <w:numPr>
          <w:ilvl w:val="0"/>
          <w:numId w:val="1006"/>
        </w:numPr>
        <w:pStyle w:val="Compact"/>
      </w:pPr>
      <w:r>
        <w:t xml:space="preserve">Economie sociale et solidaire</w:t>
      </w:r>
    </w:p>
    <w:p>
      <w:pPr>
        <w:numPr>
          <w:ilvl w:val="0"/>
          <w:numId w:val="1006"/>
        </w:numPr>
        <w:pStyle w:val="Compact"/>
      </w:pPr>
      <w:r>
        <w:t xml:space="preserve">Tourisme durable</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Réseaux verts et intelligents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Véhicules électriques, hybrides, GNV, bornes de recharge…</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pStyle w:val="FirstParagraph"/>
      </w:pPr>
      <w:r>
        <w:t xml:space="preserve">Nombre de fiches action (opération prête à démarrer) : 24</w:t>
      </w:r>
    </w:p>
    <w:p>
      <w:pPr>
        <w:pStyle w:val="TextBody"/>
      </w:pPr>
      <w:r>
        <w:t xml:space="preserve">Nombre de fiches projet (opération à travailler) : 20</w:t>
      </w:r>
    </w:p>
    <w:p>
      <w:pPr>
        <w:pStyle w:val="Heading1"/>
      </w:pPr>
      <w:bookmarkStart w:id="24" w:name="gouvernance-et-évaluation"/>
      <w:r>
        <w:t xml:space="preserve">Gouvernance et évaluation</w:t>
      </w:r>
      <w:bookmarkEnd w:id="24"/>
    </w:p>
    <w:p>
      <w:pPr>
        <w:pStyle w:val="FirstParagraph"/>
      </w:pPr>
      <w:r>
        <w:t xml:space="preserve">composition du COPIL :</w:t>
      </w:r>
    </w:p>
    <w:p>
      <w:pPr>
        <w:pStyle w:val="TextBody"/>
      </w:pPr>
      <w:r>
        <w:t xml:space="preserve">Liste des instances de partenariat mobilisées ou créées :</w:t>
      </w:r>
    </w:p>
    <w:p>
      <w:pPr>
        <w:pStyle w:val="TextBody"/>
      </w:pPr>
      <w:r>
        <w:t xml:space="preserve">Fréquence prévisionnelle annuelle de réunion du COPIL : 1</w:t>
      </w:r>
    </w:p>
    <w:p>
      <w:pPr>
        <w:pStyle w:val="TextBody"/>
      </w:pPr>
      <w:r>
        <w:t xml:space="preserve">Fréquence prévisionnelle annuelle de réunion du comité technique : 4</w:t>
      </w:r>
    </w:p>
    <w:p>
      <w:pPr>
        <w:pStyle w:val="TextBody"/>
      </w:pPr>
      <w:r>
        <w:t xml:space="preserve">Liste des partenaires socio-économiques : Chambre des métiers et de l’artisanat de la Marne, Chambre d’agriculture de la Marne, Chambre de commerce et d’industrie de Marne en Champagne, Parc naturel régional de la Montagne de Reims, SNCF, Agence de l’eau Seine-Normandie, ADEME, Banque des Territoires, Université de Reims Champagne-Ardenne, Ecole supérieure d’art et de design, Neoma Business School, Institut catholique de Paris, Reims Tourisme, VNF, COMAL SOLIHA 51, Citémétrie, Oktave, CEREMA, Citura, SNCF Réseau, Sanef, ONF, Laboratoire LRGP de Nancy, Safer Grand Est, Comité interprofessionnel du vin de Champagne, Association Reims 2028, Rectorat de Reims, Creps de Reims, UCPA Sport Station Grand Reims, Reims Events, Centre européen de biotechnologie et de bioéconomie, Commune de Bourgogne-Fresne, UIMM, Commune de Sillery, Commune de Sept-Saulx, Terrasolis, Commune de Bétheny, Commune de Champfleury, Commune de Villers-aux-Noeuds, Commune de Gueux, Commune de Muizon, Commune d’Auménancourt, Commune de Pévy, Commune de Vandeuil, Commune de Pontfaverger-Moronvilliers, Commune de Dontrien, Commune de Bouleuse, Commune de Cuisles, Commune de Ville-en-Tardenois, Commune de Chambrecy, Commune de Villers-Allerand, Commune de Rilly-la-Montagne, Commune de St-Brice-Courcelles, Commune de Merfy, Commune de Fismes, Commune de Loivre, Commune de Val-de-Vesle, Commune de Witry-les-Reims, et Commune des Petites Loges</w:t>
      </w:r>
    </w:p>
    <w:p>
      <w:pPr>
        <w:pStyle w:val="TextBody"/>
      </w:pPr>
      <w:r>
        <w:t xml:space="preserve">Démarches de co-construction du CRTE : Consultation publique/citoyenne, Ateliers, Concertation élus/techniciens, et Questionnaires / enquête numérique</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numPr>
          <w:ilvl w:val="0"/>
          <w:numId w:val="1007"/>
        </w:numPr>
        <w:pStyle w:val="Compact"/>
      </w:pPr>
      <w:r>
        <w:t xml:space="preserve">Circuits courts agricoles</w:t>
      </w:r>
    </w:p>
    <w:p>
      <w:pPr>
        <w:numPr>
          <w:ilvl w:val="0"/>
          <w:numId w:val="1007"/>
        </w:numPr>
        <w:pStyle w:val="Compact"/>
      </w:pPr>
      <w:r>
        <w:t xml:space="preserve">Restauration et alimentation durable</w:t>
      </w:r>
    </w:p>
    <w:p>
      <w:pPr>
        <w:pStyle w:val="FirstParagraph"/>
      </w:pPr>
      <w:r>
        <w:t xml:space="preserve">Définition d’indicateurs de suivi des objectifs opérationnels du CRTE : Non</w:t>
      </w:r>
    </w:p>
    <w:p>
      <w:pPr>
        <w:pStyle w:val="TextBody"/>
      </w:pPr>
      <w:r>
        <w:t xml:space="preserve">État des lieux écologique renseigné à l’aune des 13 indicateurs du socle national : Oui</w:t>
      </w:r>
    </w:p>
    <w:p>
      <w:pPr>
        <w:pStyle w:val="TextBody"/>
      </w:pPr>
      <w:r>
        <w:t xml:space="preserve">Recours à la grille d’analyse ex-ante des actions : Non</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w:t>
      </w:r>
    </w:p>
    <w:p>
      <w:pPr>
        <w:numPr>
          <w:ilvl w:val="0"/>
          <w:numId w:val="1008"/>
        </w:numPr>
        <w:pStyle w:val="Compact"/>
      </w:pPr>
      <w:r>
        <w:t xml:space="preserve">Services mutualisés de la ville de Reims et de la communauté urbaine du Grand Reims</w:t>
      </w:r>
    </w:p>
    <w:p>
      <w:pPr>
        <w:numPr>
          <w:ilvl w:val="0"/>
          <w:numId w:val="1008"/>
        </w:numPr>
        <w:pStyle w:val="Compact"/>
      </w:pPr>
      <w:r>
        <w:t xml:space="preserve">Agence d’urbanisme</w:t>
      </w:r>
    </w:p>
    <w:p>
      <w:pPr>
        <w:pStyle w:val="FirstParagraph"/>
      </w:pPr>
      <w:r>
        <w:t xml:space="preserve">Mobilisation d’une ingénierie externe : NON</w:t>
      </w:r>
    </w:p>
    <w:p>
      <w:pPr>
        <w:pStyle w:val="TextBody"/>
      </w:pPr>
      <w:r>
        <w:t xml:space="preserve">Existence d’une maquette financière annexée (ou d’un état récapitulatif des différents financements) au jour de la signature du contrat : Non</w:t>
      </w:r>
    </w:p>
    <w:p>
      <w:pPr>
        <w:pStyle w:val="TextBody"/>
      </w:pPr>
      <w:r>
        <w:t xml:space="preserve">Montant total prévisionnel en euros des actions en dépenses de fonctionnement : 1.34M€</w:t>
      </w:r>
    </w:p>
    <w:p>
      <w:pPr>
        <w:pStyle w:val="TextBody"/>
      </w:pPr>
      <w:r>
        <w:t xml:space="preserve">Montant total prévisionnel en euros des actions en dépenses d’investissement : 377.27M€</w:t>
      </w:r>
    </w:p>
    <w:p>
      <w:pPr>
        <w:pStyle w:val="TextBody"/>
      </w:pPr>
      <w:r>
        <w:t xml:space="preserve">Montant total en euros des engagements financiers des collectivités locales et leurs établissements publics : 28.00M€</w:t>
      </w:r>
    </w:p>
    <w:p>
      <w:pPr>
        <w:pStyle w:val="TextBody"/>
      </w:pPr>
      <w:r>
        <w:t xml:space="preserve">Montant total en euros des engagements financiers de l’Etat et de ses opérateurs Plan de relance : 37.99M€</w:t>
      </w:r>
    </w:p>
    <w:p>
      <w:pPr>
        <w:pStyle w:val="TextBody"/>
      </w:pPr>
      <w:r>
        <w:t xml:space="preserve">Montant total en euros des engagements financiers de l’Etat et de ses opérateurs hors plan de relance : 45.70M€</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2022-05-06T15:22:48Z</dcterms:created>
  <dcterms:modified xsi:type="dcterms:W3CDTF">2022-05-06T15:22:48Z</dcterms:modified>
</cp:coreProperties>
</file>

<file path=docProps/custom.xml><?xml version="1.0" encoding="utf-8"?>
<Properties xmlns="http://schemas.openxmlformats.org/officeDocument/2006/custom-properties" xmlns:vt="http://schemas.openxmlformats.org/officeDocument/2006/docPropsVTypes"/>
</file>