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09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Sud Estuaire (CCSE)</w:t>
      </w:r>
    </w:p>
    <w:p>
      <w:pPr>
        <w:pStyle w:val="TextBody"/>
      </w:pPr>
      <w:r>
        <w:t xml:space="preserve">Si protocole de préfiguration : date de signature : 03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arrondissement Saint Nazaire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du Sud Estuaire, nature: CC, SIREN: 244400586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Préserver et valoriser notre environnement et nos ressources</w:t>
      </w:r>
    </w:p>
    <w:p>
      <w:pPr>
        <w:numPr>
          <w:ilvl w:val="0"/>
          <w:numId w:val="1005"/>
        </w:numPr>
        <w:pStyle w:val="Compact"/>
      </w:pPr>
      <w:r>
        <w:t xml:space="preserve">1-1 Une approche globale de la ressource en eau et de la gestion des milieux aquatiques</w:t>
      </w:r>
    </w:p>
    <w:p>
      <w:pPr>
        <w:numPr>
          <w:ilvl w:val="0"/>
          <w:numId w:val="1005"/>
        </w:numPr>
        <w:pStyle w:val="Compact"/>
      </w:pPr>
      <w:r>
        <w:t xml:space="preserve">1-2 Une approche globale des questions énergétiques</w:t>
      </w:r>
    </w:p>
    <w:p>
      <w:pPr>
        <w:numPr>
          <w:ilvl w:val="0"/>
          <w:numId w:val="1005"/>
        </w:numPr>
        <w:pStyle w:val="Compact"/>
      </w:pPr>
      <w:r>
        <w:t xml:space="preserve">1-3 Une gestion optimisée des déchets</w:t>
      </w:r>
    </w:p>
    <w:p>
      <w:pPr>
        <w:numPr>
          <w:ilvl w:val="0"/>
          <w:numId w:val="1005"/>
        </w:numPr>
        <w:pStyle w:val="Compact"/>
      </w:pPr>
      <w:r>
        <w:t xml:space="preserve">1-4 La gestion des risques littoraux</w:t>
      </w:r>
    </w:p>
    <w:p>
      <w:pPr>
        <w:numPr>
          <w:ilvl w:val="0"/>
          <w:numId w:val="1005"/>
        </w:numPr>
        <w:pStyle w:val="Compact"/>
      </w:pPr>
      <w:r>
        <w:t xml:space="preserve">Orientation 2 – Entreprendre</w:t>
      </w:r>
    </w:p>
    <w:p>
      <w:pPr>
        <w:numPr>
          <w:ilvl w:val="0"/>
          <w:numId w:val="1005"/>
        </w:numPr>
        <w:pStyle w:val="Compact"/>
      </w:pPr>
      <w:r>
        <w:t xml:space="preserve">2-1 L’offre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2-2 La structuration de filières locales</w:t>
      </w:r>
    </w:p>
    <w:p>
      <w:pPr>
        <w:numPr>
          <w:ilvl w:val="0"/>
          <w:numId w:val="1005"/>
        </w:numPr>
        <w:pStyle w:val="Compact"/>
      </w:pPr>
      <w:r>
        <w:t xml:space="preserve">2-3 La promotion et l’animation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– Développer un tourisme patrimonial et itinérant</w:t>
      </w:r>
    </w:p>
    <w:p>
      <w:pPr>
        <w:numPr>
          <w:ilvl w:val="0"/>
          <w:numId w:val="1005"/>
        </w:numPr>
        <w:pStyle w:val="Compact"/>
      </w:pPr>
      <w:r>
        <w:t xml:space="preserve">3-1 Le patrimoine historique et naturel</w:t>
      </w:r>
    </w:p>
    <w:p>
      <w:pPr>
        <w:numPr>
          <w:ilvl w:val="0"/>
          <w:numId w:val="1005"/>
        </w:numPr>
        <w:pStyle w:val="Compact"/>
      </w:pPr>
      <w:r>
        <w:t xml:space="preserve">3-2 L’itinérance douce</w:t>
      </w:r>
    </w:p>
    <w:p>
      <w:pPr>
        <w:numPr>
          <w:ilvl w:val="0"/>
          <w:numId w:val="1005"/>
        </w:numPr>
        <w:pStyle w:val="Compact"/>
      </w:pPr>
      <w:r>
        <w:t xml:space="preserve">Orientation 4 – Faire battre nos cœurs de ville</w:t>
      </w:r>
    </w:p>
    <w:p>
      <w:pPr>
        <w:numPr>
          <w:ilvl w:val="0"/>
          <w:numId w:val="1005"/>
        </w:numPr>
        <w:pStyle w:val="Compact"/>
      </w:pPr>
      <w:r>
        <w:t xml:space="preserve">4-1 La planification urbaine</w:t>
      </w:r>
    </w:p>
    <w:p>
      <w:pPr>
        <w:numPr>
          <w:ilvl w:val="0"/>
          <w:numId w:val="1005"/>
        </w:numPr>
        <w:pStyle w:val="Compact"/>
      </w:pPr>
      <w:r>
        <w:t xml:space="preserve">4-2 Le logement</w:t>
      </w:r>
    </w:p>
    <w:p>
      <w:pPr>
        <w:numPr>
          <w:ilvl w:val="0"/>
          <w:numId w:val="1005"/>
        </w:numPr>
        <w:pStyle w:val="Compact"/>
      </w:pPr>
      <w:r>
        <w:t xml:space="preserve">Orientation 5 – Bien grandir</w:t>
      </w:r>
    </w:p>
    <w:p>
      <w:pPr>
        <w:numPr>
          <w:ilvl w:val="0"/>
          <w:numId w:val="1005"/>
        </w:numPr>
        <w:pStyle w:val="Compact"/>
      </w:pPr>
      <w:r>
        <w:t xml:space="preserve">5-1 L’accueil du jeune enfant/Les accueils de loisirs/La politique jeunesse/Le soutien à la parentalité</w:t>
      </w:r>
    </w:p>
    <w:p>
      <w:pPr>
        <w:numPr>
          <w:ilvl w:val="0"/>
          <w:numId w:val="1005"/>
        </w:numPr>
        <w:pStyle w:val="Compact"/>
      </w:pPr>
      <w:r>
        <w:t xml:space="preserve">Orientation 6 – Prévenir et accompagner</w:t>
      </w:r>
    </w:p>
    <w:p>
      <w:pPr>
        <w:numPr>
          <w:ilvl w:val="0"/>
          <w:numId w:val="1005"/>
        </w:numPr>
        <w:pStyle w:val="Compact"/>
      </w:pPr>
      <w:r>
        <w:t xml:space="preserve">6-1 Les parcours d’accès aux droits et aux services, le parcours de soin</w:t>
      </w:r>
    </w:p>
    <w:p>
      <w:pPr>
        <w:numPr>
          <w:ilvl w:val="0"/>
          <w:numId w:val="1005"/>
        </w:numPr>
        <w:pStyle w:val="Compact"/>
      </w:pPr>
      <w:r>
        <w:t xml:space="preserve">6-2 L’accompagnement des personnes âgées</w:t>
      </w:r>
    </w:p>
    <w:p>
      <w:pPr>
        <w:numPr>
          <w:ilvl w:val="0"/>
          <w:numId w:val="1005"/>
        </w:numPr>
        <w:pStyle w:val="Compact"/>
      </w:pPr>
      <w:r>
        <w:t xml:space="preserve">Orientation 7 – Bien vivre ensemble</w:t>
      </w:r>
    </w:p>
    <w:p>
      <w:pPr>
        <w:numPr>
          <w:ilvl w:val="0"/>
          <w:numId w:val="1005"/>
        </w:numPr>
        <w:pStyle w:val="Compact"/>
      </w:pPr>
      <w:r>
        <w:t xml:space="preserve">7-1 La mobilité</w:t>
      </w:r>
    </w:p>
    <w:p>
      <w:pPr>
        <w:numPr>
          <w:ilvl w:val="0"/>
          <w:numId w:val="1005"/>
        </w:numPr>
        <w:pStyle w:val="Compact"/>
      </w:pPr>
      <w:r>
        <w:t xml:space="preserve">7-2 Le projet sportif de territoire</w:t>
      </w:r>
    </w:p>
    <w:p>
      <w:pPr>
        <w:numPr>
          <w:ilvl w:val="0"/>
          <w:numId w:val="1005"/>
        </w:numPr>
        <w:pStyle w:val="Compact"/>
      </w:pPr>
      <w:r>
        <w:t xml:space="preserve">7-3 Le projet culturel de territoire</w:t>
      </w:r>
    </w:p>
    <w:p>
      <w:pPr>
        <w:numPr>
          <w:ilvl w:val="0"/>
          <w:numId w:val="1005"/>
        </w:numPr>
        <w:pStyle w:val="Compact"/>
      </w:pPr>
      <w:r>
        <w:t xml:space="preserve">7-4 L’animation de la vie sociale</w:t>
      </w:r>
    </w:p>
    <w:p>
      <w:pPr>
        <w:numPr>
          <w:ilvl w:val="0"/>
          <w:numId w:val="1005"/>
        </w:numPr>
        <w:pStyle w:val="Compact"/>
      </w:pPr>
      <w:r>
        <w:t xml:space="preserve">7-5 La construction et l’aménagement de locaux communautaires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TextBody"/>
      </w:pPr>
      <w:r>
        <w:t xml:space="preserve">Nombre de fiches projet (opération à travailler) : 75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directeur financier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Nom: CC du Sud Estuaire, nature: CC, SIREN: 244400586</w:t>
      </w:r>
    </w:p>
    <w:p>
      <w:pPr>
        <w:numPr>
          <w:ilvl w:val="0"/>
          <w:numId w:val="1007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Conseil de développement et Pôle d’Équilibre Territorial et Rural (PETR du Pays de Retz)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du territoire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PETR</w:t>
      </w:r>
    </w:p>
    <w:p>
      <w:pPr>
        <w:numPr>
          <w:ilvl w:val="0"/>
          <w:numId w:val="1009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225 600€</w:t>
      </w:r>
    </w:p>
    <w:p>
      <w:pPr>
        <w:pStyle w:val="TextBody"/>
      </w:pPr>
      <w:r>
        <w:t xml:space="preserve">Montant total en euros des engagements financiers de l’Etat et de ses opérateurs hors plan de relance : 877 464€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2022-05-06T15:22:44Z</dcterms:created>
  <dcterms:modified xsi:type="dcterms:W3CDTF">2022-05-06T15:22:44Z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