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m.peroz@parc-haut-jura.fr</w:t>
      </w:r>
    </w:p>
    <w:p>
      <w:pPr>
        <w:pStyle w:val="TextBody"/>
      </w:pPr>
      <w:r>
        <w:t xml:space="preserve">Date de signature du CRTE : 26 janvier 2022</w:t>
      </w:r>
    </w:p>
    <w:p>
      <w:pPr>
        <w:pStyle w:val="TextBody"/>
      </w:pPr>
      <w:r>
        <w:t xml:space="preserve">Nature juridique de la structure porteuse : Parc naturel régional</w:t>
      </w:r>
    </w:p>
    <w:p>
      <w:pPr>
        <w:pStyle w:val="TextBody"/>
      </w:pPr>
      <w:r>
        <w:t xml:space="preserve">Nom de la structure porteuse : Parc Naturel Régional du Haut Jura</w:t>
      </w:r>
    </w:p>
    <w:p>
      <w:pPr>
        <w:pStyle w:val="TextBody"/>
      </w:pPr>
      <w:r>
        <w:t xml:space="preserve">Si protocole de préfiguration : date de signature : 15 juillet 2021</w:t>
      </w:r>
    </w:p>
    <w:p>
      <w:pPr>
        <w:pStyle w:val="Heading1"/>
      </w:pPr>
      <w:bookmarkStart w:id="21" w:name="signataires"/>
      <w:r>
        <w:t xml:space="preserve">Signataires</w:t>
      </w:r>
      <w:bookmarkEnd w:id="21"/>
    </w:p>
    <w:p>
      <w:pPr>
        <w:pStyle w:val="FirstParagraph"/>
      </w:pPr>
      <w:r>
        <w:t xml:space="preserve">Nature des signataires du CRTE :Nom: SM du Parc naturel régional du Haut-Jura, nature: SMO, SIREN: 253901664</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1"/>
        </w:numPr>
        <w:pStyle w:val="Compact"/>
      </w:pPr>
      <w:r>
        <w:t xml:space="preserve">PCAET</w:t>
      </w:r>
    </w:p>
    <w:p>
      <w:pPr>
        <w:numPr>
          <w:ilvl w:val="0"/>
          <w:numId w:val="1001"/>
        </w:numPr>
        <w:pStyle w:val="Compact"/>
      </w:pPr>
      <w:r>
        <w:t xml:space="preserve">PLUI</w:t>
      </w:r>
    </w:p>
    <w:p>
      <w:pPr>
        <w:numPr>
          <w:ilvl w:val="0"/>
          <w:numId w:val="1001"/>
        </w:numPr>
        <w:pStyle w:val="Compact"/>
      </w:pPr>
      <w:r>
        <w:t xml:space="preserve">Projet alimentaire territorial</w:t>
      </w:r>
    </w:p>
    <w:p>
      <w:pPr>
        <w:numPr>
          <w:ilvl w:val="0"/>
          <w:numId w:val="1001"/>
        </w:numPr>
        <w:pStyle w:val="Compact"/>
      </w:pPr>
      <w:r>
        <w:t xml:space="preserve">SCOT</w:t>
      </w:r>
    </w:p>
    <w:p>
      <w:pPr>
        <w:numPr>
          <w:ilvl w:val="0"/>
          <w:numId w:val="1001"/>
        </w:numPr>
        <w:pStyle w:val="Compact"/>
      </w:pPr>
      <w:r>
        <w:t xml:space="preserve">SDAGE</w:t>
      </w:r>
    </w:p>
    <w:p>
      <w:pPr>
        <w:pStyle w:val="FirstParagraph"/>
      </w:pPr>
      <w:r>
        <w:t xml:space="preserve">Liste des contrats figurant dans le CRTE :</w:t>
      </w:r>
    </w:p>
    <w:p>
      <w:pPr>
        <w:numPr>
          <w:ilvl w:val="0"/>
          <w:numId w:val="1002"/>
        </w:numPr>
        <w:pStyle w:val="Compact"/>
      </w:pPr>
      <w:r>
        <w:t xml:space="preserve">Contrat de transition écologique</w:t>
      </w:r>
    </w:p>
    <w:p>
      <w:pPr>
        <w:numPr>
          <w:ilvl w:val="0"/>
          <w:numId w:val="1002"/>
        </w:numPr>
        <w:pStyle w:val="Compact"/>
      </w:pPr>
      <w:r>
        <w:t xml:space="preserve">Contrat de ville</w:t>
      </w:r>
    </w:p>
    <w:p>
      <w:pPr>
        <w:numPr>
          <w:ilvl w:val="0"/>
          <w:numId w:val="1002"/>
        </w:numPr>
        <w:pStyle w:val="Compact"/>
      </w:pPr>
      <w:r>
        <w:t xml:space="preserve">Contrat local de Santé</w:t>
      </w:r>
    </w:p>
    <w:p>
      <w:pPr>
        <w:numPr>
          <w:ilvl w:val="0"/>
          <w:numId w:val="1002"/>
        </w:numPr>
        <w:pStyle w:val="Compact"/>
      </w:pPr>
      <w:r>
        <w:t xml:space="preserve">Contrats de stations touristiques</w:t>
      </w:r>
    </w:p>
    <w:p>
      <w:pPr>
        <w:numPr>
          <w:ilvl w:val="0"/>
          <w:numId w:val="1002"/>
        </w:numPr>
        <w:pStyle w:val="Compact"/>
      </w:pPr>
      <w:r>
        <w:t xml:space="preserve">LEADER</w:t>
      </w:r>
    </w:p>
    <w:p>
      <w:pPr>
        <w:numPr>
          <w:ilvl w:val="0"/>
          <w:numId w:val="1002"/>
        </w:numPr>
        <w:pStyle w:val="Compact"/>
      </w:pPr>
      <w:r>
        <w:t xml:space="preserve">OPAH</w:t>
      </w:r>
    </w:p>
    <w:p>
      <w:pPr>
        <w:numPr>
          <w:ilvl w:val="0"/>
          <w:numId w:val="1002"/>
        </w:numPr>
        <w:pStyle w:val="Compact"/>
      </w:pPr>
      <w:r>
        <w:t xml:space="preserve">ORT</w:t>
      </w:r>
    </w:p>
    <w:p>
      <w:pPr>
        <w:pStyle w:val="FirstParagraph"/>
      </w:pPr>
      <w:r>
        <w:t xml:space="preserve">Liste des programmes de l’ANCT intégrés :</w:t>
      </w:r>
    </w:p>
    <w:p>
      <w:pPr>
        <w:numPr>
          <w:ilvl w:val="0"/>
          <w:numId w:val="1003"/>
        </w:numPr>
        <w:pStyle w:val="Compact"/>
      </w:pPr>
      <w:r>
        <w:t xml:space="preserve">Avenir montagne</w:t>
      </w:r>
    </w:p>
    <w:p>
      <w:pPr>
        <w:numPr>
          <w:ilvl w:val="0"/>
          <w:numId w:val="1003"/>
        </w:numPr>
        <w:pStyle w:val="Compact"/>
      </w:pPr>
      <w:r>
        <w:t xml:space="preserve">Fabrique des territoires</w:t>
      </w:r>
    </w:p>
    <w:p>
      <w:pPr>
        <w:numPr>
          <w:ilvl w:val="0"/>
          <w:numId w:val="1003"/>
        </w:numPr>
        <w:pStyle w:val="Compact"/>
      </w:pPr>
      <w:r>
        <w:t xml:space="preserve">France services</w:t>
      </w:r>
    </w:p>
    <w:p>
      <w:pPr>
        <w:numPr>
          <w:ilvl w:val="0"/>
          <w:numId w:val="1003"/>
        </w:numPr>
        <w:pStyle w:val="Compact"/>
      </w:pPr>
      <w:r>
        <w:t xml:space="preserve">Petits villes de demain</w:t>
      </w:r>
    </w:p>
    <w:p>
      <w:pPr>
        <w:numPr>
          <w:ilvl w:val="0"/>
          <w:numId w:val="1003"/>
        </w:numPr>
        <w:pStyle w:val="Compact"/>
      </w:pPr>
      <w:r>
        <w:t xml:space="preserve">Territoires d’industrie</w:t>
      </w:r>
    </w:p>
    <w:p>
      <w:pPr>
        <w:numPr>
          <w:ilvl w:val="0"/>
          <w:numId w:val="1003"/>
        </w:numPr>
        <w:pStyle w:val="Compact"/>
      </w:pPr>
      <w:r>
        <w:t xml:space="preserve">Programme réussite éducative</w:t>
      </w:r>
    </w:p>
    <w:p>
      <w:pPr>
        <w:pStyle w:val="FirstParagraph"/>
      </w:pPr>
      <w:r>
        <w:t xml:space="preserve">Liste des orientations stratégiques, axes, ambitions, volets, objectifs… :</w:t>
      </w:r>
    </w:p>
    <w:p>
      <w:pPr>
        <w:numPr>
          <w:ilvl w:val="0"/>
          <w:numId w:val="1004"/>
        </w:numPr>
        <w:pStyle w:val="Compact"/>
      </w:pPr>
      <w:r>
        <w:t xml:space="preserve">Orientation 1 - Economie - Diversifier le profil économique du territoire et renforcer les synergies locales - Axe 1 : Accompagner les mutations industrielles et artisanales en revalorisant les filières - Axe 2 : Dynamiser les formations en rapport avec les filières fortes comme levier d’attractivité du territoire - Axe 3 : Conforter la diversification agricole et renforcer les circuits-courts alimentaires - Axe 4 : Assurer une mobilisation durable de la ressource forestière et valoriser son potentiel constructif - Axe 5 : Favoriser un tourisme durable dans le temps et dans l’espace</w:t>
      </w:r>
    </w:p>
    <w:p>
      <w:pPr>
        <w:numPr>
          <w:ilvl w:val="0"/>
          <w:numId w:val="1004"/>
        </w:numPr>
        <w:pStyle w:val="Compact"/>
      </w:pPr>
      <w:r>
        <w:t xml:space="preserve">Orientation 2 - Qualité de vie - Garantir l’attractivité et la qualité de vie - Axe 1 : Revitaliser les fonctions de centralité des bourgs-centres - Axe 2 : Produire une offre de logements sobres en carbone, performante énergétiquement et en rapport aux parcours résidentiels et aux revenus des ménages - Axe 3 : Garantir et coordonner une offre de soins adaptée à la population - Axe 4 : Développer l’offre culturelle, les services et équipements en adéquation avec les besoins de la population et performants énergétiquement - Axe 5 : Renforcer les mobilités vertueuses et l’accessibilité de l’offre de services et équipements en lien avec les territoires voisins</w:t>
      </w:r>
    </w:p>
    <w:p>
      <w:pPr>
        <w:numPr>
          <w:ilvl w:val="0"/>
          <w:numId w:val="1004"/>
        </w:numPr>
        <w:pStyle w:val="Compact"/>
      </w:pPr>
      <w:r>
        <w:t xml:space="preserve">Orientation 3 - Transition énergétique et écologique - S’adapter pour maintenir la variété et la qualité du patrimoine naturel et paysager - Axe 1 : Poursuivre le développement adapté des énergies renouvelables ou décarbonées - Axe 2 : Préserver le capital écologique et paysager comme facteur de résilience et d’attractivité - Axe 3 : Poursuivre les démarches de sensibilisation et mobiliser l’ensemble des parties prenantes en faveur des transitions - Axe 4 : Planifier et coordonner les adaptations nécessaires à la prise ne compte du réchauffement climatique</w:t>
      </w:r>
    </w:p>
    <w:p>
      <w:pPr>
        <w:pStyle w:val="FirstParagraph"/>
      </w:pPr>
      <w:r>
        <w:t xml:space="preserve">Réalisation d’un diagnostic initial du territoire : Oui</w:t>
      </w:r>
    </w:p>
    <w:p>
      <w:pPr>
        <w:pStyle w:val="TextBody"/>
      </w:pPr>
      <w:r>
        <w:t xml:space="preserve">Mise à jour du projet de territoire avec l’élaboration du CRTE : Non</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Circuits courts agricoles</w:t>
      </w:r>
    </w:p>
    <w:p>
      <w:pPr>
        <w:numPr>
          <w:ilvl w:val="0"/>
          <w:numId w:val="1005"/>
        </w:numPr>
        <w:pStyle w:val="Compact"/>
      </w:pPr>
      <w:r>
        <w:t xml:space="preserve">Pratique agricole durable, agro-écologie</w:t>
      </w:r>
    </w:p>
    <w:p>
      <w:pPr>
        <w:numPr>
          <w:ilvl w:val="0"/>
          <w:numId w:val="1005"/>
        </w:numPr>
        <w:pStyle w:val="Compact"/>
      </w:pPr>
      <w:r>
        <w:t xml:space="preserve">Restauration et alimentation durable</w:t>
      </w:r>
    </w:p>
    <w:p>
      <w:pPr>
        <w:numPr>
          <w:ilvl w:val="0"/>
          <w:numId w:val="1005"/>
        </w:numPr>
        <w:pStyle w:val="Compact"/>
      </w:pPr>
      <w:r>
        <w:t xml:space="preserve">Espaces publics, espaces verts</w:t>
      </w:r>
    </w:p>
    <w:p>
      <w:pPr>
        <w:numPr>
          <w:ilvl w:val="0"/>
          <w:numId w:val="1005"/>
        </w:numPr>
        <w:pStyle w:val="Compact"/>
      </w:pPr>
      <w:r>
        <w:t xml:space="preserve">Infrastructure(s) et réseaux (numérique, eau,chaleur…)</w:t>
      </w:r>
    </w:p>
    <w:p>
      <w:pPr>
        <w:numPr>
          <w:ilvl w:val="0"/>
          <w:numId w:val="1005"/>
        </w:numPr>
        <w:pStyle w:val="Compact"/>
      </w:pPr>
      <w:r>
        <w:t xml:space="preserve">Opération de requalification (friches…)</w:t>
      </w:r>
    </w:p>
    <w:p>
      <w:pPr>
        <w:numPr>
          <w:ilvl w:val="0"/>
          <w:numId w:val="1005"/>
        </w:numPr>
        <w:pStyle w:val="Compact"/>
      </w:pPr>
      <w:r>
        <w:t xml:space="preserve">Extension urbaine maîtrisée</w:t>
      </w:r>
    </w:p>
    <w:p>
      <w:pPr>
        <w:numPr>
          <w:ilvl w:val="0"/>
          <w:numId w:val="1005"/>
        </w:numPr>
        <w:pStyle w:val="Compact"/>
      </w:pPr>
      <w:r>
        <w:t xml:space="preserve">Connaissance et protection de la biodiversité et milieux naturels</w:t>
      </w:r>
    </w:p>
    <w:p>
      <w:pPr>
        <w:numPr>
          <w:ilvl w:val="0"/>
          <w:numId w:val="1005"/>
        </w:numPr>
        <w:pStyle w:val="Compact"/>
      </w:pPr>
      <w:r>
        <w:t xml:space="preserve">Gestion quantitative et qualitative de l’eau</w:t>
      </w:r>
    </w:p>
    <w:p>
      <w:pPr>
        <w:numPr>
          <w:ilvl w:val="0"/>
          <w:numId w:val="1005"/>
        </w:numPr>
        <w:pStyle w:val="Compact"/>
      </w:pPr>
      <w:r>
        <w:t xml:space="preserve">Emploi et Insertion</w:t>
      </w:r>
    </w:p>
    <w:p>
      <w:pPr>
        <w:numPr>
          <w:ilvl w:val="0"/>
          <w:numId w:val="1005"/>
        </w:numPr>
        <w:pStyle w:val="Compact"/>
      </w:pPr>
      <w:r>
        <w:t xml:space="preserve">Tourisme durable</w:t>
      </w:r>
    </w:p>
    <w:p>
      <w:pPr>
        <w:numPr>
          <w:ilvl w:val="0"/>
          <w:numId w:val="1005"/>
        </w:numPr>
        <w:pStyle w:val="Compact"/>
      </w:pPr>
      <w:r>
        <w:t xml:space="preserve">Commerce, artisanat de proximité</w:t>
      </w:r>
    </w:p>
    <w:p>
      <w:pPr>
        <w:numPr>
          <w:ilvl w:val="0"/>
          <w:numId w:val="1005"/>
        </w:numPr>
        <w:pStyle w:val="Compact"/>
      </w:pPr>
      <w:r>
        <w:t xml:space="preserve">Efficacité énergétique</w:t>
      </w:r>
    </w:p>
    <w:p>
      <w:pPr>
        <w:numPr>
          <w:ilvl w:val="0"/>
          <w:numId w:val="1005"/>
        </w:numPr>
        <w:pStyle w:val="Compact"/>
      </w:pPr>
      <w:r>
        <w:t xml:space="preserve">Production d’énergies renouvelables</w:t>
      </w:r>
    </w:p>
    <w:p>
      <w:pPr>
        <w:numPr>
          <w:ilvl w:val="0"/>
          <w:numId w:val="1005"/>
        </w:numPr>
        <w:pStyle w:val="Compact"/>
      </w:pPr>
      <w:r>
        <w:t xml:space="preserve">Mobilités douces</w:t>
      </w:r>
    </w:p>
    <w:p>
      <w:pPr>
        <w:numPr>
          <w:ilvl w:val="0"/>
          <w:numId w:val="1005"/>
        </w:numPr>
        <w:pStyle w:val="Compact"/>
      </w:pPr>
      <w:r>
        <w:t xml:space="preserve">Organisation des déplacements</w:t>
      </w:r>
    </w:p>
    <w:p>
      <w:pPr>
        <w:numPr>
          <w:ilvl w:val="0"/>
          <w:numId w:val="1005"/>
        </w:numPr>
        <w:pStyle w:val="Compact"/>
      </w:pPr>
      <w:r>
        <w:t xml:space="preserve">Véhicules électriques, hybrides, GNV, bornes de recharge…</w:t>
      </w:r>
    </w:p>
    <w:p>
      <w:pPr>
        <w:numPr>
          <w:ilvl w:val="0"/>
          <w:numId w:val="1005"/>
        </w:numPr>
        <w:pStyle w:val="Compact"/>
      </w:pPr>
      <w:r>
        <w:t xml:space="preserve">Culture et patrimoine</w:t>
      </w:r>
    </w:p>
    <w:p>
      <w:pPr>
        <w:numPr>
          <w:ilvl w:val="0"/>
          <w:numId w:val="1005"/>
        </w:numPr>
        <w:pStyle w:val="Compact"/>
      </w:pPr>
      <w:r>
        <w:t xml:space="preserve">Sport</w:t>
      </w:r>
    </w:p>
    <w:p>
      <w:pPr>
        <w:numPr>
          <w:ilvl w:val="0"/>
          <w:numId w:val="1005"/>
        </w:numPr>
        <w:pStyle w:val="Compact"/>
      </w:pPr>
      <w:r>
        <w:t xml:space="preserve">Loisirs</w:t>
      </w:r>
    </w:p>
    <w:p>
      <w:pPr>
        <w:numPr>
          <w:ilvl w:val="0"/>
          <w:numId w:val="1005"/>
        </w:numPr>
        <w:pStyle w:val="Compact"/>
      </w:pPr>
      <w:r>
        <w:t xml:space="preserve">Formation professionnelle</w:t>
      </w:r>
    </w:p>
    <w:p>
      <w:pPr>
        <w:numPr>
          <w:ilvl w:val="0"/>
          <w:numId w:val="1005"/>
        </w:numPr>
        <w:pStyle w:val="Compact"/>
      </w:pPr>
      <w:r>
        <w:t xml:space="preserve">Santé et soins</w:t>
      </w:r>
    </w:p>
    <w:p>
      <w:pPr>
        <w:numPr>
          <w:ilvl w:val="0"/>
          <w:numId w:val="1005"/>
        </w:numPr>
        <w:pStyle w:val="Compact"/>
      </w:pPr>
      <w:r>
        <w:t xml:space="preserve">Sûreté et sécurité</w:t>
      </w:r>
    </w:p>
    <w:p>
      <w:pPr>
        <w:numPr>
          <w:ilvl w:val="0"/>
          <w:numId w:val="1005"/>
        </w:numPr>
        <w:pStyle w:val="Compact"/>
      </w:pPr>
      <w:r>
        <w:t xml:space="preserve">Vivre ensemble, interdépendance et solidarité</w:t>
      </w:r>
    </w:p>
    <w:p>
      <w:pPr>
        <w:numPr>
          <w:ilvl w:val="0"/>
          <w:numId w:val="1005"/>
        </w:numPr>
        <w:pStyle w:val="Compact"/>
      </w:pPr>
      <w:r>
        <w:t xml:space="preserve">Accès à un logement de qualité</w:t>
      </w:r>
    </w:p>
    <w:p>
      <w:pPr>
        <w:pStyle w:val="FirstParagraph"/>
      </w:pPr>
      <w:r>
        <w:t xml:space="preserve">Nombre de fiches action (opération prête à démarrer) : 101</w:t>
      </w:r>
    </w:p>
    <w:p>
      <w:pPr>
        <w:pStyle w:val="TextBody"/>
      </w:pPr>
      <w:r>
        <w:t xml:space="preserve">Nombre de fiches projet (opération à travailler) : 42</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Préfet</w:t>
      </w:r>
    </w:p>
    <w:p>
      <w:pPr>
        <w:numPr>
          <w:ilvl w:val="0"/>
          <w:numId w:val="1006"/>
        </w:numPr>
        <w:pStyle w:val="Compact"/>
      </w:pPr>
      <w:r>
        <w:t xml:space="preserve">Présidente du Pays du haut Jura</w:t>
      </w:r>
    </w:p>
    <w:p>
      <w:pPr>
        <w:numPr>
          <w:ilvl w:val="0"/>
          <w:numId w:val="1006"/>
        </w:numPr>
        <w:pStyle w:val="Compact"/>
      </w:pPr>
      <w:r>
        <w:t xml:space="preserve">Nom: CC de la Station des Rousses-Haut Jura, nature: CC, SIREN: 243900354</w:t>
      </w:r>
    </w:p>
    <w:p>
      <w:pPr>
        <w:numPr>
          <w:ilvl w:val="0"/>
          <w:numId w:val="1006"/>
        </w:numPr>
        <w:pStyle w:val="Compact"/>
      </w:pPr>
      <w:r>
        <w:t xml:space="preserve">Nom: CC Haut-Jura Saint-Claude, nature: CC, SIREN: 200026573</w:t>
      </w:r>
    </w:p>
    <w:p>
      <w:pPr>
        <w:numPr>
          <w:ilvl w:val="0"/>
          <w:numId w:val="1006"/>
        </w:numPr>
        <w:pStyle w:val="Compact"/>
      </w:pPr>
      <w:r>
        <w:t xml:space="preserve">Nom: CC Haut-Jura Arcade Communauté, nature: CC, SIREN: 243900479</w:t>
      </w:r>
    </w:p>
    <w:p>
      <w:pPr>
        <w:numPr>
          <w:ilvl w:val="0"/>
          <w:numId w:val="1006"/>
        </w:numPr>
        <w:pStyle w:val="Compact"/>
      </w:pPr>
      <w:r>
        <w:t xml:space="preserve">Nom: CC la Grandvallière, nature: CC, SIREN: 243900610</w:t>
      </w:r>
    </w:p>
    <w:p>
      <w:pPr>
        <w:numPr>
          <w:ilvl w:val="0"/>
          <w:numId w:val="1006"/>
        </w:numPr>
        <w:pStyle w:val="Compact"/>
      </w:pPr>
      <w:r>
        <w:t xml:space="preserve">Commissariat d’Aménagement et de développement du Massif du Jura</w:t>
      </w:r>
    </w:p>
    <w:p>
      <w:pPr>
        <w:numPr>
          <w:ilvl w:val="0"/>
          <w:numId w:val="1006"/>
        </w:numPr>
        <w:pStyle w:val="Compact"/>
      </w:pPr>
      <w:r>
        <w:t xml:space="preserve">Nom: Bourgogne-Franche-Comté, nature: region, SIREN: 27</w:t>
      </w:r>
    </w:p>
    <w:p>
      <w:pPr>
        <w:numPr>
          <w:ilvl w:val="0"/>
          <w:numId w:val="1006"/>
        </w:numPr>
        <w:pStyle w:val="Compact"/>
      </w:pPr>
      <w:r>
        <w:t xml:space="preserve">Nom: Jura, nature: departement, SIREN: 39</w:t>
      </w:r>
    </w:p>
    <w:p>
      <w:pPr>
        <w:numPr>
          <w:ilvl w:val="0"/>
          <w:numId w:val="1006"/>
        </w:numPr>
        <w:pStyle w:val="Compact"/>
      </w:pPr>
      <w:r>
        <w:t xml:space="preserve">anah</w:t>
      </w:r>
    </w:p>
    <w:p>
      <w:pPr>
        <w:numPr>
          <w:ilvl w:val="0"/>
          <w:numId w:val="1006"/>
        </w:numPr>
        <w:pStyle w:val="Compact"/>
      </w:pPr>
      <w:r>
        <w:t xml:space="preserve">ADEME</w:t>
      </w:r>
    </w:p>
    <w:p>
      <w:pPr>
        <w:numPr>
          <w:ilvl w:val="0"/>
          <w:numId w:val="1006"/>
        </w:numPr>
        <w:pStyle w:val="Compact"/>
      </w:pPr>
      <w:r>
        <w:t xml:space="preserve">Agence de l’eau</w:t>
      </w:r>
    </w:p>
    <w:p>
      <w:pPr>
        <w:numPr>
          <w:ilvl w:val="0"/>
          <w:numId w:val="1006"/>
        </w:numPr>
        <w:pStyle w:val="Compact"/>
      </w:pPr>
      <w:r>
        <w:t xml:space="preserve">Etablissement public foncier local</w:t>
      </w:r>
    </w:p>
    <w:p>
      <w:pPr>
        <w:numPr>
          <w:ilvl w:val="0"/>
          <w:numId w:val="1006"/>
        </w:numPr>
        <w:pStyle w:val="Compact"/>
      </w:pPr>
      <w:r>
        <w:t xml:space="preserve">Nom: SM du Parc naturel régional du Haut-Jura, nature: SMO, SIREN: 253901664</w:t>
      </w:r>
    </w:p>
    <w:p>
      <w:pPr>
        <w:numPr>
          <w:ilvl w:val="0"/>
          <w:numId w:val="1006"/>
        </w:numPr>
        <w:pStyle w:val="Compact"/>
      </w:pPr>
      <w:r>
        <w:t xml:space="preserve">ARS</w:t>
      </w:r>
    </w:p>
    <w:p>
      <w:pPr>
        <w:numPr>
          <w:ilvl w:val="0"/>
          <w:numId w:val="1006"/>
        </w:numPr>
        <w:pStyle w:val="Compact"/>
      </w:pPr>
      <w:r>
        <w:t xml:space="preserve">Chambre d’Agriculture</w:t>
      </w:r>
    </w:p>
    <w:p>
      <w:pPr>
        <w:numPr>
          <w:ilvl w:val="0"/>
          <w:numId w:val="1006"/>
        </w:numPr>
        <w:pStyle w:val="Compact"/>
      </w:pPr>
      <w:r>
        <w:t xml:space="preserve">CCI</w:t>
      </w:r>
    </w:p>
    <w:p>
      <w:pPr>
        <w:numPr>
          <w:ilvl w:val="0"/>
          <w:numId w:val="1006"/>
        </w:numPr>
        <w:pStyle w:val="Compact"/>
      </w:pPr>
      <w:r>
        <w:t xml:space="preserve">Chambre des Métiers</w:t>
      </w:r>
    </w:p>
    <w:p>
      <w:pPr>
        <w:pStyle w:val="FirstParagraph"/>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 Atelier des savoir-faire, Union des industries et métiers de la métallurfie, Chambre des métiers et de l’artisanat, chambre de commerce et d’industrie, chambre d’agriculture, communes forestières, La maison pour Tous, Soliha, comité départemental du tourisme, centre national de la propriété forestière, Association régionale de développement agricole et rural, et Mutualité sociale agricole</w:t>
      </w:r>
    </w:p>
    <w:p>
      <w:pPr>
        <w:pStyle w:val="TextBody"/>
      </w:pPr>
      <w:r>
        <w:t xml:space="preserve">Démarches de co-construction du CRTE : Concertation élus/techniciens</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7"/>
        </w:numPr>
        <w:pStyle w:val="Compact"/>
      </w:pPr>
      <w:r>
        <w:t xml:space="preserve">Opération de requalification (friches…)</w:t>
      </w:r>
    </w:p>
    <w:p>
      <w:pPr>
        <w:numPr>
          <w:ilvl w:val="0"/>
          <w:numId w:val="1007"/>
        </w:numPr>
        <w:pStyle w:val="Compact"/>
      </w:pPr>
      <w:r>
        <w:t xml:space="preserve">Connaissance et protection de la biodiversité et milieux naturels</w:t>
      </w:r>
    </w:p>
    <w:p>
      <w:pPr>
        <w:numPr>
          <w:ilvl w:val="0"/>
          <w:numId w:val="1007"/>
        </w:numPr>
        <w:pStyle w:val="Compact"/>
      </w:pPr>
      <w:r>
        <w:t xml:space="preserve">Gestion quantitative et qualitative de l’eau</w:t>
      </w:r>
    </w:p>
    <w:p>
      <w:pPr>
        <w:numPr>
          <w:ilvl w:val="0"/>
          <w:numId w:val="1007"/>
        </w:numPr>
        <w:pStyle w:val="Compact"/>
      </w:pPr>
      <w:r>
        <w:t xml:space="preserve">Emploi et Insertion</w:t>
      </w:r>
    </w:p>
    <w:p>
      <w:pPr>
        <w:numPr>
          <w:ilvl w:val="0"/>
          <w:numId w:val="1007"/>
        </w:numPr>
        <w:pStyle w:val="Compact"/>
      </w:pPr>
      <w:r>
        <w:t xml:space="preserve">Tourisme durable</w:t>
      </w:r>
    </w:p>
    <w:p>
      <w:pPr>
        <w:numPr>
          <w:ilvl w:val="0"/>
          <w:numId w:val="1007"/>
        </w:numPr>
        <w:pStyle w:val="Compact"/>
      </w:pPr>
      <w:r>
        <w:t xml:space="preserve">Production d’énergies renouvelables</w:t>
      </w:r>
    </w:p>
    <w:p>
      <w:pPr>
        <w:numPr>
          <w:ilvl w:val="0"/>
          <w:numId w:val="1007"/>
        </w:numPr>
        <w:pStyle w:val="Compact"/>
      </w:pPr>
      <w:r>
        <w:t xml:space="preserve">Organisation des déplacements</w:t>
      </w:r>
    </w:p>
    <w:p>
      <w:pPr>
        <w:numPr>
          <w:ilvl w:val="0"/>
          <w:numId w:val="1007"/>
        </w:numPr>
        <w:pStyle w:val="Compact"/>
      </w:pPr>
      <w:r>
        <w:t xml:space="preserve">Véhicules électriques, hybrides, GNV, bornes de recharge…</w:t>
      </w:r>
    </w:p>
    <w:p>
      <w:pPr>
        <w:numPr>
          <w:ilvl w:val="0"/>
          <w:numId w:val="1007"/>
        </w:numPr>
        <w:pStyle w:val="Compact"/>
      </w:pPr>
      <w:r>
        <w:t xml:space="preserve">Formation professionnelle</w:t>
      </w:r>
    </w:p>
    <w:p>
      <w:pPr>
        <w:pStyle w:val="FirstParagraph"/>
      </w:pPr>
      <w:r>
        <w:t xml:space="preserve">Définition d’indicateurs de suivi des objectifs opérationnels du CRTE : Oui</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w:t>
      </w:r>
    </w:p>
    <w:p>
      <w:pPr>
        <w:numPr>
          <w:ilvl w:val="0"/>
          <w:numId w:val="1008"/>
        </w:numPr>
        <w:pStyle w:val="Compact"/>
      </w:pPr>
      <w:r>
        <w:t xml:space="preserve">Pays</w:t>
      </w:r>
    </w:p>
    <w:p>
      <w:pPr>
        <w:numPr>
          <w:ilvl w:val="0"/>
          <w:numId w:val="1008"/>
        </w:numPr>
        <w:pStyle w:val="Compact"/>
      </w:pPr>
      <w:r>
        <w:t xml:space="preserve">PNR</w:t>
      </w:r>
    </w:p>
    <w:p>
      <w:pPr>
        <w:pStyle w:val="FirstParagraph"/>
      </w:pPr>
      <w:r>
        <w:t xml:space="preserve">Mobilisation d’une ingénierie externe : Bureau d’étude marché ANCT</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102.84M€</w:t>
      </w:r>
    </w:p>
    <w:p>
      <w:pPr>
        <w:pStyle w:val="TextBody"/>
      </w:pPr>
      <w:r>
        <w:t xml:space="preserve">Montant total en euros des engagements financiers des collectivités locales et leurs établissements publics : 25.39M€</w:t>
      </w:r>
    </w:p>
    <w:p>
      <w:pPr>
        <w:pStyle w:val="TextBody"/>
      </w:pPr>
      <w:r>
        <w:t xml:space="preserve">Montant total en euros des engagements financiers de l’Etat et de ses opérateurs Plan de relance : 24.19M€</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824 155€</w:t>
      </w:r>
    </w:p>
    <w:p>
      <w:pPr>
        <w:pStyle w:val="TextBody"/>
      </w:pPr>
      <w:r>
        <w:t xml:space="preserve">Montant total prévisionnel en euros des cofinancements privés : 0€</w:t>
      </w:r>
    </w:p>
    <w:p>
      <w:pPr>
        <w:pStyle w:val="TextBody"/>
      </w:pPr>
      <w:r>
        <w:t xml:space="preserve">Montant en euros des engagements financiers de la Banque des territoires : 2.60M€</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2022-05-06T15:22:40Z</dcterms:created>
  <dcterms:modified xsi:type="dcterms:W3CDTF">2022-05-06T15:22:40Z</dcterms:modified>
</cp:coreProperties>
</file>

<file path=docProps/custom.xml><?xml version="1.0" encoding="utf-8"?>
<Properties xmlns="http://schemas.openxmlformats.org/officeDocument/2006/custom-properties" xmlns:vt="http://schemas.openxmlformats.org/officeDocument/2006/docPropsVTypes"/>
</file>