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louis.langdorf@jura.gouv.fr</w:t>
      </w:r>
    </w:p>
    <w:p>
      <w:pPr>
        <w:pStyle w:val="TextBody"/>
      </w:pPr>
      <w:r>
        <w:t xml:space="preserve">Date de signature du CRTE : 31 janvier 2022</w:t>
      </w:r>
    </w:p>
    <w:p>
      <w:pPr>
        <w:pStyle w:val="TextBody"/>
      </w:pPr>
      <w:r>
        <w:t xml:space="preserve">Nature juridique de la structure porteuse : Communauté de communes</w:t>
      </w:r>
    </w:p>
    <w:p>
      <w:pPr>
        <w:pStyle w:val="TextBody"/>
      </w:pPr>
      <w:r>
        <w:t xml:space="preserve">Nom de la structure porteuse : Communauté de communes de Champagnole Nozeroy Jura</w:t>
      </w:r>
    </w:p>
    <w:p>
      <w:pPr>
        <w:pStyle w:val="TextBody"/>
      </w:pPr>
      <w:r>
        <w:t xml:space="preserve">Si protocole de préfiguration : date de signature : 06 septembre 2021</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CC Champagnole Nozeroy Jura, nature: CC, SIREN: 200069623</w:t>
      </w:r>
    </w:p>
    <w:p>
      <w:pPr>
        <w:numPr>
          <w:ilvl w:val="0"/>
          <w:numId w:val="1001"/>
        </w:numPr>
        <w:pStyle w:val="Compact"/>
      </w:pPr>
      <w:r>
        <w:t xml:space="preserve">Nom: Jura, nature: departement, SIREN: 39</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pStyle w:val="TextBody"/>
      </w:pPr>
      <w:r>
        <w:t xml:space="preserve">Liste des contrats figurant dans le CRTE : Contrat local de Santé</w:t>
      </w:r>
    </w:p>
    <w:p>
      <w:pPr>
        <w:pStyle w:val="TextBody"/>
      </w:pPr>
      <w:r>
        <w:t xml:space="preserve">Liste des programmes de l’ANCT intégrés :</w:t>
      </w:r>
    </w:p>
    <w:p>
      <w:pPr>
        <w:numPr>
          <w:ilvl w:val="0"/>
          <w:numId w:val="1002"/>
        </w:numPr>
        <w:pStyle w:val="Compact"/>
      </w:pPr>
      <w:r>
        <w:t xml:space="preserve">Conseillers numériques France services</w:t>
      </w:r>
    </w:p>
    <w:p>
      <w:pPr>
        <w:numPr>
          <w:ilvl w:val="0"/>
          <w:numId w:val="1002"/>
        </w:numPr>
        <w:pStyle w:val="Compact"/>
      </w:pPr>
      <w:r>
        <w:t xml:space="preserve">France services</w:t>
      </w:r>
    </w:p>
    <w:p>
      <w:pPr>
        <w:numPr>
          <w:ilvl w:val="0"/>
          <w:numId w:val="1002"/>
        </w:numPr>
        <w:pStyle w:val="Compact"/>
      </w:pPr>
      <w:r>
        <w:t xml:space="preserve">Territoires d’industrie</w:t>
      </w:r>
    </w:p>
    <w:p>
      <w:pPr>
        <w:pStyle w:val="FirstParagraph"/>
      </w:pPr>
      <w:r>
        <w:t xml:space="preserve">Liste des orientations stratégiques, axes, ambitions, volets, objectifs… : Les différents objectifs ont été déclinés en 20 fiches-actions, avec des exemples très concrets de projets.</w:t>
      </w:r>
    </w:p>
    <w:p>
      <w:pPr>
        <w:pStyle w:val="TextBody"/>
      </w:pPr>
      <w:r>
        <w:t xml:space="preserve">Réalisation d’un diagnostic initial du territoire : Oui</w:t>
      </w:r>
    </w:p>
    <w:p>
      <w:pPr>
        <w:pStyle w:val="TextBody"/>
      </w:pPr>
      <w:r>
        <w:t xml:space="preserve">Mise à jour du projet de territoire avec l’élaboration du CRTE : Non</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3"/>
        </w:numPr>
        <w:pStyle w:val="Compact"/>
      </w:pPr>
      <w:r>
        <w:t xml:space="preserve">Circuits courts agricoles</w:t>
      </w:r>
    </w:p>
    <w:p>
      <w:pPr>
        <w:numPr>
          <w:ilvl w:val="0"/>
          <w:numId w:val="1003"/>
        </w:numPr>
        <w:pStyle w:val="Compact"/>
      </w:pPr>
      <w:r>
        <w:t xml:space="preserve">Pratique agricole durable, agro-écologie</w:t>
      </w:r>
    </w:p>
    <w:p>
      <w:pPr>
        <w:numPr>
          <w:ilvl w:val="0"/>
          <w:numId w:val="1003"/>
        </w:numPr>
        <w:pStyle w:val="Compact"/>
      </w:pPr>
      <w:r>
        <w:t xml:space="preserve">Restauration et alimentation durable</w:t>
      </w:r>
    </w:p>
    <w:p>
      <w:pPr>
        <w:numPr>
          <w:ilvl w:val="0"/>
          <w:numId w:val="1003"/>
        </w:numPr>
        <w:pStyle w:val="Compact"/>
      </w:pPr>
      <w:r>
        <w:t xml:space="preserve">Espaces publics, espaces verts</w:t>
      </w:r>
    </w:p>
    <w:p>
      <w:pPr>
        <w:numPr>
          <w:ilvl w:val="0"/>
          <w:numId w:val="1003"/>
        </w:numPr>
        <w:pStyle w:val="Compact"/>
      </w:pPr>
      <w:r>
        <w:t xml:space="preserve">Infrastructure(s) et réseaux (numérique, eau,chaleur…)</w:t>
      </w:r>
    </w:p>
    <w:p>
      <w:pPr>
        <w:numPr>
          <w:ilvl w:val="0"/>
          <w:numId w:val="1003"/>
        </w:numPr>
        <w:pStyle w:val="Compact"/>
      </w:pPr>
      <w:r>
        <w:t xml:space="preserve">Extension urbaine maîtrisée</w:t>
      </w:r>
    </w:p>
    <w:p>
      <w:pPr>
        <w:numPr>
          <w:ilvl w:val="0"/>
          <w:numId w:val="1003"/>
        </w:numPr>
        <w:pStyle w:val="Compact"/>
      </w:pPr>
      <w:r>
        <w:t xml:space="preserve">Opération de requalification (friches…)</w:t>
      </w:r>
    </w:p>
    <w:p>
      <w:pPr>
        <w:numPr>
          <w:ilvl w:val="0"/>
          <w:numId w:val="1003"/>
        </w:numPr>
        <w:pStyle w:val="Compact"/>
      </w:pPr>
      <w:r>
        <w:t xml:space="preserve">Connaissance et protection de la biodiversité et milieux naturels</w:t>
      </w:r>
    </w:p>
    <w:p>
      <w:pPr>
        <w:numPr>
          <w:ilvl w:val="0"/>
          <w:numId w:val="1003"/>
        </w:numPr>
        <w:pStyle w:val="Compact"/>
      </w:pPr>
      <w:r>
        <w:t xml:space="preserve">Tourisme durable</w:t>
      </w:r>
    </w:p>
    <w:p>
      <w:pPr>
        <w:numPr>
          <w:ilvl w:val="0"/>
          <w:numId w:val="1003"/>
        </w:numPr>
        <w:pStyle w:val="Compact"/>
      </w:pPr>
      <w:r>
        <w:t xml:space="preserve">Commerce, artisanat de proximité</w:t>
      </w:r>
    </w:p>
    <w:p>
      <w:pPr>
        <w:numPr>
          <w:ilvl w:val="0"/>
          <w:numId w:val="1003"/>
        </w:numPr>
        <w:pStyle w:val="Compact"/>
      </w:pPr>
      <w:r>
        <w:t xml:space="preserve">Production d’énergies renouvelables</w:t>
      </w:r>
    </w:p>
    <w:p>
      <w:pPr>
        <w:numPr>
          <w:ilvl w:val="0"/>
          <w:numId w:val="1003"/>
        </w:numPr>
        <w:pStyle w:val="Compact"/>
      </w:pPr>
      <w:r>
        <w:t xml:space="preserve">Mobilités douces</w:t>
      </w:r>
    </w:p>
    <w:p>
      <w:pPr>
        <w:numPr>
          <w:ilvl w:val="0"/>
          <w:numId w:val="1003"/>
        </w:numPr>
        <w:pStyle w:val="Compact"/>
      </w:pPr>
      <w:r>
        <w:t xml:space="preserve">Sport</w:t>
      </w:r>
    </w:p>
    <w:p>
      <w:pPr>
        <w:numPr>
          <w:ilvl w:val="0"/>
          <w:numId w:val="1003"/>
        </w:numPr>
        <w:pStyle w:val="Compact"/>
      </w:pPr>
      <w:r>
        <w:t xml:space="preserve">Loisirs</w:t>
      </w:r>
    </w:p>
    <w:p>
      <w:pPr>
        <w:numPr>
          <w:ilvl w:val="0"/>
          <w:numId w:val="1003"/>
        </w:numPr>
        <w:pStyle w:val="Compact"/>
      </w:pPr>
      <w:r>
        <w:t xml:space="preserve">Formation professionnelle</w:t>
      </w:r>
    </w:p>
    <w:p>
      <w:pPr>
        <w:numPr>
          <w:ilvl w:val="0"/>
          <w:numId w:val="1003"/>
        </w:numPr>
        <w:pStyle w:val="Compact"/>
      </w:pPr>
      <w:r>
        <w:t xml:space="preserve">Usages et inclusion numériques</w:t>
      </w:r>
    </w:p>
    <w:p>
      <w:pPr>
        <w:numPr>
          <w:ilvl w:val="0"/>
          <w:numId w:val="1003"/>
        </w:numPr>
        <w:pStyle w:val="Compact"/>
      </w:pPr>
      <w:r>
        <w:t xml:space="preserve">Santé et soins</w:t>
      </w:r>
    </w:p>
    <w:p>
      <w:pPr>
        <w:numPr>
          <w:ilvl w:val="0"/>
          <w:numId w:val="1003"/>
        </w:numPr>
        <w:pStyle w:val="Compact"/>
      </w:pPr>
      <w:r>
        <w:t xml:space="preserve">Vivre ensemble, interdépendance et solidarité</w:t>
      </w:r>
    </w:p>
    <w:p>
      <w:pPr>
        <w:numPr>
          <w:ilvl w:val="0"/>
          <w:numId w:val="1003"/>
        </w:numPr>
        <w:pStyle w:val="Compact"/>
      </w:pPr>
      <w:r>
        <w:t xml:space="preserve">Gestion quantitative et qualitative de l’eau</w:t>
      </w:r>
    </w:p>
    <w:p>
      <w:pPr>
        <w:numPr>
          <w:ilvl w:val="0"/>
          <w:numId w:val="1003"/>
        </w:numPr>
        <w:pStyle w:val="Compact"/>
      </w:pPr>
      <w:r>
        <w:t xml:space="preserve">Emploi et Insertion</w:t>
      </w:r>
    </w:p>
    <w:p>
      <w:pPr>
        <w:numPr>
          <w:ilvl w:val="0"/>
          <w:numId w:val="1003"/>
        </w:numPr>
        <w:pStyle w:val="Compact"/>
      </w:pPr>
      <w:r>
        <w:t xml:space="preserve">Organisation des déplacements</w:t>
      </w:r>
    </w:p>
    <w:p>
      <w:pPr>
        <w:numPr>
          <w:ilvl w:val="0"/>
          <w:numId w:val="1003"/>
        </w:numPr>
        <w:pStyle w:val="Compact"/>
      </w:pPr>
      <w:r>
        <w:t xml:space="preserve">Véhicules électriques, hybrides, GNV, bornes de recharge…</w:t>
      </w:r>
    </w:p>
    <w:p>
      <w:pPr>
        <w:numPr>
          <w:ilvl w:val="0"/>
          <w:numId w:val="1003"/>
        </w:numPr>
        <w:pStyle w:val="Compact"/>
      </w:pPr>
      <w:r>
        <w:t xml:space="preserve">Education</w:t>
      </w:r>
    </w:p>
    <w:p>
      <w:pPr>
        <w:numPr>
          <w:ilvl w:val="0"/>
          <w:numId w:val="1003"/>
        </w:numPr>
        <w:pStyle w:val="Compact"/>
      </w:pPr>
      <w:r>
        <w:t xml:space="preserve">Accès à un logement de qualité</w:t>
      </w:r>
    </w:p>
    <w:p>
      <w:pPr>
        <w:pStyle w:val="FirstParagraph"/>
      </w:pPr>
      <w:r>
        <w:t xml:space="preserve">Nombre de fiches action (opération prête à démarrer) : 20</w:t>
      </w:r>
    </w:p>
    <w:p>
      <w:pPr>
        <w:pStyle w:val="TextBody"/>
      </w:pPr>
      <w:r>
        <w:t xml:space="preserve">Nombre de fiches projet (opération à travailler) : 0</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4"/>
        </w:numPr>
        <w:pStyle w:val="Compact"/>
      </w:pPr>
      <w:r>
        <w:t xml:space="preserve">Nom: CC Champagnole Nozeroy Jura, nature: CC, SIREN: 200069623</w:t>
      </w:r>
    </w:p>
    <w:p>
      <w:pPr>
        <w:numPr>
          <w:ilvl w:val="0"/>
          <w:numId w:val="1004"/>
        </w:numPr>
        <w:pStyle w:val="Compact"/>
      </w:pPr>
      <w:r>
        <w:t xml:space="preserve">Etat</w:t>
      </w:r>
    </w:p>
    <w:p>
      <w:pPr>
        <w:pStyle w:val="FirstParagraph"/>
      </w:pPr>
      <w:r>
        <w:t xml:space="preserve">Liste des instances de partenariat mobilisées ou créées : Conférence des maires</w:t>
      </w:r>
    </w:p>
    <w:p>
      <w:pPr>
        <w:pStyle w:val="TextBody"/>
      </w:pPr>
      <w:r>
        <w:t xml:space="preserve">Fréquence prévisionnelle annuelle de réunion du COPIL : 1</w:t>
      </w:r>
    </w:p>
    <w:p>
      <w:pPr>
        <w:pStyle w:val="TextBody"/>
      </w:pPr>
      <w:r>
        <w:t xml:space="preserve">Fréquence prévisionnelle annuelle de réunion du comité technique : 2</w:t>
      </w:r>
    </w:p>
    <w:p>
      <w:pPr>
        <w:pStyle w:val="TextBody"/>
      </w:pPr>
      <w:r>
        <w:t xml:space="preserve">Liste des partenaires socio-économiques : SICTOM SIVOS Syndicat mixte de source de la Papeterie Syndicat Intercommunal des Eaux du Centre Est Jura Espace Nordique Jurassien (ENJ) Association des Grandes Traversées du Jura (GTJ) Conservatoires des Espaces Naturels (CEN) Commissariat de Massif Agence de l’Eau Agence Régional de Santé Agence Nationale du Sport (ANS)</w:t>
      </w:r>
    </w:p>
    <w:p>
      <w:pPr>
        <w:pStyle w:val="TextBody"/>
      </w:pPr>
      <w:r>
        <w:t xml:space="preserve">Démarches de co-construction du CRTE : Concertation élus/techniciens</w:t>
      </w:r>
    </w:p>
    <w:p>
      <w:pPr>
        <w:pStyle w:val="TextBody"/>
      </w:pPr>
      <w:r>
        <w:t xml:space="preserve">Existence d’un volet de coopération interterritoriale (dont volet transfrontalier) : Oui</w:t>
      </w:r>
    </w:p>
    <w:p>
      <w:pPr>
        <w:pStyle w:val="TextBody"/>
      </w:pPr>
      <w:r>
        <w:t xml:space="preserve">Domaines d’action publique de la coopération interterritoriale :</w:t>
      </w:r>
    </w:p>
    <w:p>
      <w:pPr>
        <w:numPr>
          <w:ilvl w:val="0"/>
          <w:numId w:val="1005"/>
        </w:numPr>
        <w:pStyle w:val="Compact"/>
      </w:pPr>
      <w:r>
        <w:t xml:space="preserve">Mobilités douces</w:t>
      </w:r>
    </w:p>
    <w:p>
      <w:pPr>
        <w:numPr>
          <w:ilvl w:val="0"/>
          <w:numId w:val="1005"/>
        </w:numPr>
        <w:pStyle w:val="Compact"/>
      </w:pPr>
      <w:r>
        <w:t xml:space="preserve">Organisation des déplacements</w:t>
      </w:r>
    </w:p>
    <w:p>
      <w:pPr>
        <w:numPr>
          <w:ilvl w:val="0"/>
          <w:numId w:val="1005"/>
        </w:numPr>
        <w:pStyle w:val="Compact"/>
      </w:pPr>
      <w:r>
        <w:t xml:space="preserve">Transports en commun</w:t>
      </w:r>
    </w:p>
    <w:p>
      <w:pPr>
        <w:numPr>
          <w:ilvl w:val="0"/>
          <w:numId w:val="1005"/>
        </w:numPr>
        <w:pStyle w:val="Compact"/>
      </w:pPr>
      <w:r>
        <w:t xml:space="preserve">Extension urbaine maîtrisée</w:t>
      </w:r>
    </w:p>
    <w:p>
      <w:pPr>
        <w:numPr>
          <w:ilvl w:val="0"/>
          <w:numId w:val="1005"/>
        </w:numPr>
        <w:pStyle w:val="Compact"/>
      </w:pPr>
      <w:r>
        <w:t xml:space="preserve">Tourisme durable</w:t>
      </w:r>
    </w:p>
    <w:p>
      <w:pPr>
        <w:pStyle w:val="FirstParagraph"/>
      </w:pPr>
      <w:r>
        <w:t xml:space="preserve">Définition d’indicateurs de suivi des objectifs opérationnels du CRTE : Non</w:t>
      </w:r>
    </w:p>
    <w:p>
      <w:pPr>
        <w:pStyle w:val="TextBody"/>
      </w:pPr>
      <w:r>
        <w:t xml:space="preserve">État des lieux écologique renseigné à l’aune des 13 indicateurs du socle national : Non</w:t>
      </w:r>
    </w:p>
    <w:p>
      <w:pPr>
        <w:pStyle w:val="TextBody"/>
      </w:pPr>
      <w:r>
        <w:t xml:space="preserve">Recours à la grille d’analyse ex-ante des actions : Non</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Oui</w:t>
      </w:r>
    </w:p>
    <w:p>
      <w:pPr>
        <w:pStyle w:val="TextBody"/>
      </w:pPr>
      <w:r>
        <w:t xml:space="preserve">Recrutement d’un volontaire territorial en administration : Non</w:t>
      </w:r>
    </w:p>
    <w:p>
      <w:pPr>
        <w:pStyle w:val="TextBody"/>
      </w:pPr>
      <w:r>
        <w:t xml:space="preserve">Mobilisation de l’ingénierie locale :</w:t>
      </w:r>
    </w:p>
    <w:p>
      <w:pPr>
        <w:pStyle w:val="TextBody"/>
      </w:pPr>
      <w:r>
        <w:t xml:space="preserve">Mobilisation d’une ingénierie externe : Bureau d’étude marché ANCT</w:t>
      </w:r>
    </w:p>
    <w:p>
      <w:pPr>
        <w:pStyle w:val="TextBody"/>
      </w:pPr>
      <w:r>
        <w:t xml:space="preserve">Existence d’une maquette financière annexée (ou d’un état récapitulatif des différents financements) au jour de la signature du contrat : Oui</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0€</w:t>
      </w:r>
    </w:p>
    <w:p>
      <w:pPr>
        <w:pStyle w:val="TextBody"/>
      </w:pPr>
      <w:r>
        <w:t xml:space="preserve">Montant total en euros des engagements financiers des collectivités locales et leurs établissements publics : 34.34M€</w:t>
      </w:r>
    </w:p>
    <w:p>
      <w:pPr>
        <w:pStyle w:val="TextBody"/>
      </w:pPr>
      <w:r>
        <w:t xml:space="preserve">Montant total en euros des engagements financiers de l’Etat et de ses opérateurs Plan de relance : 10.30M€</w:t>
      </w:r>
    </w:p>
    <w:p>
      <w:pPr>
        <w:pStyle w:val="TextBody"/>
      </w:pPr>
      <w:r>
        <w:t xml:space="preserve">Montant total en euros des engagements financiers de l’Etat et de ses opérateurs hors plan de relance : 10.30M€</w:t>
      </w:r>
    </w:p>
    <w:p>
      <w:pPr>
        <w:pStyle w:val="TextBody"/>
      </w:pPr>
      <w:r>
        <w:t xml:space="preserve">Montant total prévisionnel en euros des cofinancements européens : 2.00M€</w:t>
      </w:r>
    </w:p>
    <w:p>
      <w:pPr>
        <w:pStyle w:val="TextBody"/>
      </w:pPr>
      <w:r>
        <w:t xml:space="preserve">Montant total prévisionnel en euros des cofinancements privés : 0€</w:t>
      </w:r>
    </w:p>
    <w:p>
      <w:pPr>
        <w:pStyle w:val="TextBody"/>
      </w:pPr>
      <w:r>
        <w:t xml:space="preserve">Montant en euros des engagements financiers de la Banque des territoires : 50 000€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2022-05-06T15:22:40Z</dcterms:created>
  <dcterms:modified xsi:type="dcterms:W3CDTF">2022-05-06T15:22:40Z</dcterms:modified>
</cp:coreProperties>
</file>

<file path=docProps/custom.xml><?xml version="1.0" encoding="utf-8"?>
<Properties xmlns="http://schemas.openxmlformats.org/officeDocument/2006/custom-properties" xmlns:vt="http://schemas.openxmlformats.org/officeDocument/2006/docPropsVTypes"/>
</file>